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39 vom 15. Februar 2013</w:t>
      </w:r>
    </w:p>
    <w:p>
      <w:r>
        <w:t>VD Tribunal cantonal, 2013-02-15, FR</w:t>
      </w:r>
    </w:p>
    <w:p>
      <w:r>
        <w:rPr>
          <w:b/>
        </w:rPr>
        <w:t xml:space="preserve">Quelle: </w:t>
      </w:r>
      <w:r>
        <w:t>https://mcp.opencaselaw.ch/entscheid/vd_findinfo_ML___2013___39</w:t>
      </w:r>
    </w:p>
    <w:p>
      <w:r>
        <w:t>FR: VD_FINDINFO ML / 2013 / 39 du 15 février 2013</w:t>
      </w:r>
    </w:p>
    <w:p>
      <w:r>
        <w:t>IT: VD_FINDINFO ML / 2013 / 39 del 15 febbraio 2013</w:t>
      </w:r>
    </w:p>
    <w:p>
      <w:pPr>
        <w:pStyle w:val="Heading2"/>
      </w:pPr>
      <w:r>
        <w:t>Regeste</w:t>
      </w:r>
    </w:p>
    <w:p>
      <w:r>
        <w:t>ACTE DE RECOURS, OBLIGATION DE CHIFFRER LES CONCLUSIONS | 321 al. 1 CPC (CH)</w:t>
      </w:r>
    </w:p>
    <w:p>
      <w:pPr>
        <w:pStyle w:val="Heading2"/>
      </w:pPr>
      <w:r>
        <w:t>Volltext</w:t>
      </w:r>
    </w:p>
    <w:p>
      <w:r>
        <w:t>Vaud Tribunal cantonal Cour des poursuites et faillites 15.02.2013 ML / 2013 / 39</w:t>
      </w:r>
    </w:p>
    <w:p>
      <w:r>
        <w:t>ACTE DE RECOURS, OBLIGATION DE CHIFFRER LES CONCLUSIONS | 321 al. 1 CPC (CH)</w:t>
      </w:r>
    </w:p>
    <w:p>
      <w:r>
        <w:t>TRIBUNAL CANTONAL KC12.029898-122336 66 Cour des poursuites et faillites ________________________________________________ Arrêt du 15 février 2013 __________________ Présidence de               M. Sauterel , président Juges :              Mme Carlsson et M. Hack Greffier : Mme              Joye ***** Art. 321 al. 1 CPC Vu le prononcé rendu le 31 octobre 2012 par le Juge de paix du district de Nyon, statuant à la suite de l'interpellation de la partie poursuivie, prononçant la mainlevée définitive de l'opposition formée par H.________ , à Genolier, à la poursuite n° 6'201'156 de l'Office des poursuites du district de Nyon exercée contre lui à l'instance de la CONFEDERATION SUISSE , représentée par l'Office d'impôt du district de Nyon, vu les motifs du prononcé adressés pour notification aux parties le 17 décembre 2012, vu l'écriture déposée le 20 décembre 2012 par [...], sous la signature de [...], administrateur, agissant au bénéfice d'une procuration, qui déclare faire recours et demande l'octroi d'un délai au 15 janvier 2013 pour "déposer notre requête en bonne et due forme" ; attendu que le recours contre un prononcé de mainlevée s'exerce par acte écrit et motivé, introduit auprès de l'instance de recours dans le délai de dix jours suivant la notification de la décision motivée (art. 321 al. 1 et 2 CPC, Code de procédure civile, RS 272), que le recours a été formé en temps utile, qu'en revanche, cet acte n'est pas motivé, c'est-à-dire qu'il ne comporte l'indication d'aucun moyen ou grief contre la décision de mainlevée,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la prolongation du délai demandée dans l'acte de recours ne saurait être accordée, que le délai de recours est un délai légal et, comme tel, n'est pas prolongeable (art. 144 al. 1 CPC), que l'écriture du 20 décembre 2012 ne remplit pas non plus les conditions d'une restitution de délai au sens de l'art. 148 CPC, qu'en effet, d'une part une telle requête serait prématurée, le délai de l'art. 148 al. 2 CPC ne commençant à courir au plus tôt que le lendemain de l'échéance du délai dont la restitution est demandée (Tappy, Code de procédure civile commenté, n. 25 ad art. 148 CPC), et, d'autre part, le motif invoqué, à savoir la fermeture des bureaux pour les fêtes de fin d'année, ne constitue en aucun cas un empêchement au sens de cette disposition, que le recours doit par conséquent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15 février 2013 L'arrêt qui précède, dont la rédaction a été approuvée à huis clos, prend date de ce jour. Il est notifié, par l'envoi de photocopies, à : ‑ [...] (pour H.________), ‑ Office d'impôt du district de Nyon (pour la Confédération suisse). La Cour des poursuites et faillites considère que la valeur litigieuse est de 56'637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