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359 vom 1. November 2013</w:t>
      </w:r>
    </w:p>
    <w:p>
      <w:r>
        <w:t>VD Tribunal cantonal, 2013-11-01, FR</w:t>
      </w:r>
    </w:p>
    <w:p>
      <w:r>
        <w:rPr>
          <w:b/>
        </w:rPr>
        <w:t xml:space="preserve">Quelle: </w:t>
      </w:r>
      <w:r>
        <w:t>https://mcp.opencaselaw.ch/entscheid/vd_findinfo_ML___2013___359</w:t>
      </w:r>
    </w:p>
    <w:p>
      <w:r>
        <w:t>FR: VD_FINDINFO ML / 2013 / 359 du 1 novembre 2013</w:t>
      </w:r>
    </w:p>
    <w:p>
      <w:r>
        <w:t>IT: VD_FINDINFO ML / 2013 / 359 del 1 novembre 2013</w:t>
      </w:r>
    </w:p>
    <w:p>
      <w:pPr>
        <w:pStyle w:val="Heading2"/>
      </w:pPr>
      <w:r>
        <w:t>Regeste</w:t>
      </w:r>
    </w:p>
    <w:p>
      <w:r>
        <w:t>MAINLEVÉE DÉFINITIVE, MAINLEVÉE PROVISOIRE, OBLIGATION D'ENTRETIEN | 277 al. 2 CC, 80 LP, 82 LP</w:t>
      </w:r>
    </w:p>
    <w:p>
      <w:pPr>
        <w:pStyle w:val="Heading2"/>
      </w:pPr>
      <w:r>
        <w:t>Erwägungen</w:t>
      </w:r>
    </w:p>
    <w:p>
      <w:r>
        <w:rPr>
          <w:b/>
        </w:rPr>
        <w:t>E. 1</w:t>
      </w:r>
    </w:p>
    <w:p>
      <w:r>
        <w:t>(ATF 117 II 127, JT 1992 I 285).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Autre est la situation où le jugement rendu en matière d'obligation alimentaire indique clairement et sans réserve que le père contribuera à l'entretien de son enfant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pour la pension fixée (CPF, 14 janvier 2013/16; CPF, 8 février 2007/26). La cour de céans a en revanche jugé que le dispositif qui énonce qu'une pension est due « dès lors et jusqu'à leur majorité ou leur indépendance financière » n'est pas claire et ne permet pas de déterminer avec certitude que le débirentier s'est engagé à verser des pensions au-delà de la majorité de l'enfant (CPF, 16 juillet 2013/298). En l'espèce, la convention des 21 et 28 novembre 1997 contient une clause analogue à celle qui est reproduite ci-dessus et ne fait aucune référence à l'art. 277 al. 2 CC. Toutefois, vu le caractère exceptionnel de la contribution des parents à l'entretien de l'enfant majeur, on ne saurait faire abstraction de l'art. 277 al. 2 CC dans l'interprétation du texte de la transaction. Mais peu importe, car même en l'absence de référence à cette disposition, la clause litigieuse n'est pas claire et ne permet pas, dans le cadre de la procédure de mainlevée où le juge ne statue que sur pièces, et sur la base de la seule convention, d'affirmer que le recourant s'est engagé à payer des contributions d'entretien à l'intimée au-delà de la majorité de celle-ci. Le fait que le recourant ait ultérieurement pris l'engagement de « reprendre » le versement des pensions à partir du 1 er mars 2013 ne permet pas, pour les motifs déjà exposés, d'en déduire qu'il a reconnu devoir des pensions pour la période qui fait l'objet de la présente poursuite. Enfin, à supposer que tel soit le cas, on doit constater avec le recourant que l'intimée n'a de toute manière pas établi ni même rendu vraisemblable qu'elle n'était pas indépendante financièrement durant les mois d'août à novembre 2012. Elle ne fournit aucune indication en ce qui concerne les mois d'août et septembre, où elle a pu avoir une activité rémunérée. Elle établit avoir travaillé bénévolement en Afrique durant les mois d'octobre et novembre 2012, mais cela ne signifie pas encore qu'elle n'ait pas eu son indépendance financière durant cette période, notamment en étant nourrie et logée par son employeur. Quant au fait qu'elle établisse avoir poursuivi sa formation en 2013, il ne signifie pas qu'elle ait droit sans autre à une contribution d'entretien pour sa période sabbatique intermédiaire. III. Le recours doit en conséquence être admis et le prononcé attaqué réformé en ce sens que l’opposition est maintenue . Les frais judiciaires de première instance, arrêtés à 180 fr., sont mis à la charge de la poursuivante. Cette dernière doit verser au poursuivi la somme de 800 fr. à titre de dépens de première instance. Les frais judiciaires de deuxième instance, arrêtés à 360 fr., sont mis à la charge de l’intimée. Cette dernière doit verser au recourant la somme de 960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