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31 vom 1. Februar 2013</w:t>
      </w:r>
    </w:p>
    <w:p>
      <w:r>
        <w:t>VD Tribunal cantonal, 2013-02-01, FR</w:t>
      </w:r>
    </w:p>
    <w:p>
      <w:r>
        <w:rPr>
          <w:b/>
        </w:rPr>
        <w:t xml:space="preserve">Quelle: </w:t>
      </w:r>
      <w:r>
        <w:t>https://mcp.opencaselaw.ch/entscheid/vd_findinfo_ML___2013___31</w:t>
      </w:r>
    </w:p>
    <w:p>
      <w:r>
        <w:t>FR: VD_FINDINFO ML / 2013 / 31 du 1 février 2013</w:t>
      </w:r>
    </w:p>
    <w:p>
      <w:r>
        <w:t>IT: VD_FINDINFO ML / 2013 / 31 del 1 febbraio 2013</w:t>
      </w:r>
    </w:p>
    <w:p>
      <w:pPr>
        <w:pStyle w:val="Heading2"/>
      </w:pPr>
      <w:r>
        <w:t>Regeste</w:t>
      </w:r>
    </w:p>
    <w:p>
      <w:r>
        <w:t>DROIT D'ÊTRE ENTENDU, NOTIFICATION IRRÉGULIÈRE, REQUÊTE DE MAINLEVÉE | 29 al. 2 Cst., 84 LP, 253 CPC (CH), 53 al. 1 CPC (CH)</w:t>
      </w:r>
    </w:p>
    <w:p>
      <w:pPr>
        <w:pStyle w:val="Heading2"/>
      </w:pPr>
      <w:r>
        <w:t>Erwägungen</w:t>
      </w:r>
    </w:p>
    <w:p>
      <w:r>
        <w:rPr>
          <w:b/>
        </w:rPr>
        <w:t>E. 1</w:t>
      </w:r>
    </w:p>
    <w:p>
      <w:r>
        <w:t>er janvier 2011, la procédure de mainlevée est régie par la procédure sommaire des art. 248 et suivants CPC (art. 251 let. a CPC; Staehelin, Basler Kommentar, n. 2a ad art. 84 LP). En application de l’art. 253 CPC, lorsque la requête ne paraît pas manifestement irrecevable ou infondée, le tribunal donne à la partie adverse l’occasion de se déterminer oralement ou par écrit. En procédure de mainlevée également, l’art. 84 al. 2 in initio LP prévoit que le juge du for de la poursuite donne au débiteur, dès réception de la requête, l’occasion de répondre verbalement ou par écrit, avant qu’il ne notifie sa décision. Ces dispositions concrétisent le droit d’être entendu du défendeur, respectivement du poursuivi, garanti par l’art. 53 CPC ainsi que par les art. 29 al. 2 Cst (Constitution fédérale de la Confédération suisse du 18 avril 1999; RS 101) et 6 § 1 CEDH (Convention du 4 novembre 1950 de sauvegarde des droits de l'homme et des libertés fondamentales; RS 0.101) (Bohnet, Code de procédure civile commenté, n. 2 ad art. 253 CPC; Haldy, Code de procédure civile commenté, nn. 1 à 5 ad art. 53 CPC; Chevallier, ZPO Kommentar, n. 1 ad art. 253 CPC). La décision par laquelle le juge opte pour une détermination orale ou une détermination écrite, et conséquemment à la renonciation aux débats (art. 256 al. 1 CPC), est une ordonnance d’instruction au sens de l’art. 319 let. b CPC (Chevallier, op. cit., n. 1 in fine ad art. 253 CPC; Staehelin, op. cit., n. 41 ad art. 84 LP). D’après l’art. 138 al. 1 CPC, les citations, les ordonnances et les décisions sont notifiées par envoi recommandé ou d’une autre manière contre accusé de réception. Selon le deuxième alinéa de cette disposition, l’acte est réputé notifié lorsqu’il a été remis au destinataire, à un de ses employés ou à une personne de seize ans au moins vivant dans le même ménage, l’ordre donné par le tribunal de notifier l’acte personnellement au destinataire étant réservé. Enfin, en application du troisième alinéa de cet article, l’acte est réputé notifié en cas d’envoi recommandé lorsque celui-ci n’a pas été retiré à l’expiration d’un délai de sept jours à compter de l’échec de la remise, si le destinataire devait s’attendre à recevoir la notification. Cette fiction de notification à l’échéance du délai de sept jours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 Selon la jurisprudence, le débiteur qui fait opposition à un commandement de payer n’est pas censé se tenir prêt à tout moment à recevoir une requête de mainlevée, car il s’agit-là d’une nouvelle procédure (ATF 130 III 396, JT 2005 II 87; TF 5A_895/2011 du 6 mars 2012 c. 3.1 destiné à la publication; TF 5A_552/2011 du 10 octobre 2011 c. 2.1; TF 5D_130/2011 du 22 septembre 2011 c. 2.1; TF 5A_710/2011 du 28 janvier 2011 c. 3.1; TF 5A_172/2009 du 26 janvier 2010 publié in BlSchK 2010 p. 207 et note du rédacteur Hans-Jörg Peter et les réf. cit.; Bohnet, op. cit., n. 27 ad art. 138 CPC). Ainsi, lorsque la convocation à l’audience de mainlevée et/ou la requête de mainlevée avec le délai pour se déterminer par écrit n’ont pas été retirés dans le délai de garde, ils doivent être notifiés à nouveau d’une autre manière contre accusé de réception (art. 138 al. 1 CPC), soit notamment par huissier (Bohnet, op. cit., n. 31 ad art. 138 CPC; CPF, 1 er février 2012/13). La cour de céans en avait jugé pareillement sous l’empire de l’ancien droit de procédure (CPF, 8 septembre 2011/ 375; CPF, 7 février 2011/37; CPF, 9 décembre 2010/470; CPF, 29 avril 2010/190 et les réf. cit.). c) En l’espèce, en ne renouvelant pas la notification à la recourante et en ne lui permettant ainsi pas de prendre concrètement connaissance de la requête de mainlevée, puis de pouvoir s’exprimer à son sujet, le premier juge a violé son droit d’être entendue, garanti par les art. 84 al. 2 LP ainsi que par les art. 53 et 253 CPC. Cette violation ne peut être réparée en deuxième instance car, en procédure de recours, le tribunal de deuxième instance doit statuer sur un état de fait identique à celui examiné par le premier juge, l’instance de recours ayant pour mission de contrôler la conformité au droit de la décision entreprise, mais pas de poursuivre la procédure de première instance, si bien qu’à l’instar du Tribunal fédéral, l’instance de recours doit contrôler la juste application du droit à un état de fait arrêté définitivement (Chaix, Introduction au recours de la nouvelle procédure civile fédérale, in SJ 2009 II 257 ss, n. 17, p. 267). Comme la recourante ne peut alléguer de nouveaux faits, produire de nouvelles pièces et prendre de nouvelles conclusions (art. 326 CPC), elle ne peut s’exprimer de la même manière que si elle avait pu le faire en première instance (Staehelin, Basler Kommentar, n. 41 ad art. 84 LP et la réf. cit. publiée in Rep. 1981 p. 393). III. En conséquence, le recours doit être admis, le prononcé annulé et la cause renvoyée au premier juge pour qu’il notifie la requête de mainlevée à la recourante et l’assigne à une nouvelle audience. Les frais judiciaires de deuxième instance, arrêtés à 315 fr., doivent être mis à la charge de l’intimée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