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303 vom 30. Oktober 2013</w:t>
      </w:r>
    </w:p>
    <w:p>
      <w:r>
        <w:t>VD Tribunal cantonal, 2013-10-30, FR</w:t>
      </w:r>
    </w:p>
    <w:p>
      <w:r>
        <w:rPr>
          <w:b/>
        </w:rPr>
        <w:t xml:space="preserve">Quelle: </w:t>
      </w:r>
      <w:r>
        <w:t>https://mcp.opencaselaw.ch/entscheid/vd_findinfo_ML___2013___303</w:t>
      </w:r>
    </w:p>
    <w:p>
      <w:r>
        <w:t>FR: VD_FINDINFO ML / 2013 / 303 du 30 octobre 2013</w:t>
      </w:r>
    </w:p>
    <w:p>
      <w:r>
        <w:t>IT: VD_FINDINFO ML / 2013 / 303 del 30 ottobre 2013</w:t>
      </w:r>
    </w:p>
    <w:p>
      <w:pPr>
        <w:pStyle w:val="Heading2"/>
      </w:pPr>
      <w:r>
        <w:t>Regeste</w:t>
      </w:r>
    </w:p>
    <w:p>
      <w:r>
        <w:t>DÉCISION D'IRRECEVABILITÉ, CALCUL DU DÉLAI, DÉLAI DE RECOURS, OBSERVATION DU DÉLAI | 321 al. 2 CPC (CH)</w:t>
      </w:r>
    </w:p>
    <w:p>
      <w:pPr>
        <w:pStyle w:val="Heading2"/>
      </w:pPr>
      <w:r>
        <w:t>Volltext</w:t>
      </w:r>
    </w:p>
    <w:p>
      <w:r>
        <w:t>Vaud Tribunal cantonal Cour des poursuites et faillites 30.10.2013 ML / 2013 / 303</w:t>
      </w:r>
    </w:p>
    <w:p>
      <w:r>
        <w:t>DÉCISION D'IRRECEVABILITÉ, CALCUL DU DÉLAI, DÉLAI DE RECOURS, OBSERVATION DU DÉLAI | 321 al. 2 CPC (CH)</w:t>
      </w:r>
    </w:p>
    <w:p>
      <w:r>
        <w:t>TRIBUNAL CANTONAL KC12.048393-131877 430 Cour des poursuites et faillites ________________________________________________ Arrêt du 30 octobre 2013 ____________________ Présidence de               M. Hack , juge présidant Juges :              Mmes Carlsson et Byrde Greffier : Mme              van Ouwenaller ***** Art. 321 al. 2 CPC Vu le prononcé rendu le 6 février 2013, à la suite de l'interpellation du poursuivi, par le Juge de paix du district du Gros-de-Vaud, rejetant la requête de mainlevée déposée par la W.________ , dans la poursuite n° 6'252'222 de l'Office des poursuites du district du Gros-de-Vaud exercée à son instance à l'encontre de X.________ , à Boulens, vu la demande de motivation déposée par la poursuivante le 13 février 2013, vu les motifs de cette décision adressés aux parties le 27 août 2013, vu l'extrait postal du suivi des envois d'après lequel le pli adressé à la poursuivante a été distribué le 28 août 2013, vu le recours de la W.________ daté du 6 septembre 2013 et adressé le 10 septembre 2013 à la cour de céans, vu le courrier recommandé du 8 octobre 2013 par lequel le juge présidant la cour de céans, constatant que le recours paraissait tardif, a imparti à la recourante un délai de dix jours pour fournir toutes explications utiles sur les raisons pour lesquelles elle n'aurait pas respecté le délai légal de recours, vu la lettre du 9 octobre 2013 de la recourante indiquant que son recours a été déposé dans le délai légal de dix jours puisque, selon son souvenir,  elle a reçu le prononcé le 2 septembre 2013;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la W.________ pour recourir contre le prononcé de mainlevée, qui lui avait été notifié le mercredi 28 août 2013, arrivait à échéance le lundi 9 septembre 2013 (art. 142 al. 3 CPC), que, déposé le 10 septembre 2013, le recours est tardif, que les explications de la recourante ne permettent pas de considérer que la tardiveté de son recours ne lui est pas imputable ou n'est imputable qu'à une faute légère, qu'il n'y a dès lors pas lieu de lui accorder une restitution de délai, d'ailleurs non requise, au sens de l'art. 148 CPC, que le recours, tardif,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juge présidant : La greffière : Du 30 octobre 2013 L'arrêt qui précède, dont la rédaction a été approuvée à huis clos, prend date de ce jour. Il est notifié, par l'envoi de photocopies, à : ‑ La W.________ ‑ M. X.________ La Cour des poursuites et faillites considère que la valeur litigieuse est de 3'195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