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300 vom 14. November 2013</w:t>
      </w:r>
    </w:p>
    <w:p>
      <w:r>
        <w:t>VD Tribunal cantonal, 2013-11-14, FR</w:t>
      </w:r>
    </w:p>
    <w:p>
      <w:r>
        <w:rPr>
          <w:b/>
        </w:rPr>
        <w:t xml:space="preserve">Quelle: </w:t>
      </w:r>
      <w:r>
        <w:t>https://mcp.opencaselaw.ch/entscheid/vd_findinfo_ML___2013___300</w:t>
      </w:r>
    </w:p>
    <w:p>
      <w:r>
        <w:t>FR: VD_FINDINFO ML / 2013 / 300 du 14 novembre 2013</w:t>
      </w:r>
    </w:p>
    <w:p>
      <w:r>
        <w:t>IT: VD_FINDINFO ML / 2013 / 300 del 14 novembre 2013</w:t>
      </w:r>
    </w:p>
    <w:p>
      <w:pPr>
        <w:pStyle w:val="Heading2"/>
      </w:pPr>
      <w:r>
        <w:t>Regeste</w:t>
      </w:r>
    </w:p>
    <w:p>
      <w:r>
        <w:t>DÉCISION D'IRRECEVABILITÉ, MOTIVATION DE LA DEMANDE | 321 al. 1 CPC (CH)</w:t>
      </w:r>
    </w:p>
    <w:p>
      <w:pPr>
        <w:pStyle w:val="Heading2"/>
      </w:pPr>
      <w:r>
        <w:t>Volltext</w:t>
      </w:r>
    </w:p>
    <w:p>
      <w:r>
        <w:t>Vaud Tribunal cantonal Cour des poursuites et faillites 14.11.2013 ML / 2013 / 300</w:t>
      </w:r>
    </w:p>
    <w:p>
      <w:r>
        <w:t>DÉCISION D'IRRECEVABILITÉ, MOTIVATION DE LA DEMANDE | 321 al. 1 CPC (CH)</w:t>
      </w:r>
    </w:p>
    <w:p>
      <w:r>
        <w:t>TRIBUNAL CANTONAL KC13.017935-131957 453 Cour des poursuites et faillites ________________________________________________ Arrêt du 14 novembre 2013 _____________________ Présidence de               M. Hack , juge présidant Juges :              Mme Byrde et M. Maillard Greffier : Mme              van Ouwenaller ***** Art. 321 al. 1 CPC Vu le prononcé rendu le 8 août 2013, à la suite de l'interpellation du poursuivi, par le Juge de paix du district de la Riviera – Pays-d'Enhaut, prononçant, à concurrence de 1'512 fr. avec intérêt à 5 % l'an dès le 31 janvier 2013, la mainlevée définitive de l'opposition formée par U.________ , à Corseaux, dans la poursuite en réalisation de gage immobilier n° 6'597'754 de l'Office des poursuites du district de la Riviera – Pays-d'Enhaut, intentée à l'instance de la F.________ , constatant l'existence du droit de gage, arrêtant à 150 fr. les frais judiciaires mis à la charge du poursuivi et disant qu'en conséquence celui-ci rembourserait à la poursuivante son avance de frais à concurrence de 150 fr., sans allocation de dépens pour le surplus, vu la demande de motivation déposée par le poursuivi le 26 août 2013, vu les motifs de la décision adressés aux parties le 20 septembre 2013 et notifiés au poursuivi le 23 septembre 2013, vu le recours formé par le poursuivi le 1 er octobre 2013, demandant qu'un délai raisonnable lui soit accordé pour solder sa dette auprès de la poursuivante; attendu selon l'art. 321 al. 2 CPC (Code de procédure civile du 19 décembre 2008; RS 272), le recours est introduit auprès de l'instance de recours dans le délai de dix jours qui suit la notification de la décision motivée, qu'en l'espèce, le délai dont disposait U.________ pour recourir contre la décision du premier juge est arrivée à échéance le jeudi 3 octobre 2013, que le recours du poursuivi a donc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1 er octobre 2013 ne contient aucune conclusion ni aucun grief, motif ou moyen de recours reconnaissable contre la décision de mainlevée, le recourant sollicitant uniquement l'octroi d'un délai de paiement,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 er octobre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14 novembre 2013 L'arrêt qui précède, dont la rédaction a été approuvée à huis clos, prend date de ce jour. Il est notifié, par l'envoi de photocopies, à : ‑ M. U.________, ‑ La F.________. La Cour des poursuites et faillites considère que la valeur litigieuse est de 1'512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