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295 vom 28. Oktober 2013</w:t>
      </w:r>
    </w:p>
    <w:p>
      <w:r>
        <w:t>VD Tribunal cantonal, 2013-10-28, FR</w:t>
      </w:r>
    </w:p>
    <w:p>
      <w:r>
        <w:rPr>
          <w:b/>
        </w:rPr>
        <w:t xml:space="preserve">Quelle: </w:t>
      </w:r>
      <w:r>
        <w:t>https://mcp.opencaselaw.ch/entscheid/vd_findinfo_ML___2013___295</w:t>
      </w:r>
    </w:p>
    <w:p>
      <w:r>
        <w:t>FR: VD_FINDINFO ML / 2013 / 295 du 28 octobre 2013</w:t>
      </w:r>
    </w:p>
    <w:p>
      <w:r>
        <w:t>IT: VD_FINDINFO ML / 2013 / 295 del 28 ottobre 2013</w:t>
      </w:r>
    </w:p>
    <w:p>
      <w:pPr>
        <w:pStyle w:val="Heading2"/>
      </w:pPr>
      <w:r>
        <w:t>Regeste</w:t>
      </w:r>
    </w:p>
    <w:p>
      <w:r>
        <w:t>DÉCISION D'IRRECEVABILITÉ, CALCUL DU DÉLAI, DÉLAI DE RECOURS | 239 al. 1 CPC (CH)</w:t>
      </w:r>
    </w:p>
    <w:p>
      <w:pPr>
        <w:pStyle w:val="Heading2"/>
      </w:pPr>
      <w:r>
        <w:t>Volltext</w:t>
      </w:r>
    </w:p>
    <w:p>
      <w:r>
        <w:t>Vaud Tribunal cantonal Cour des poursuites et faillites 28.10.2013 ML / 2013 / 295</w:t>
      </w:r>
    </w:p>
    <w:p>
      <w:r>
        <w:t>DÉCISION D'IRRECEVABILITÉ, CALCUL DU DÉLAI, DÉLAI DE RECOURS | 239 al. 1 CPC (CH)</w:t>
      </w:r>
    </w:p>
    <w:p>
      <w:r>
        <w:t>TRIBUNAL CANTONAL KC13.016666-131796 427 Cour des poursuites et faillites ________________________________________________ Arrêt du 28 octobre 2013 ____________________ Présidence de               M. Hack , juge présidant Juges :              Mme Byrde et M. Maillard Greffier : Mme              van Ouwenaller ***** Art. 239 CPC Vu le prononcé rendu le 20 juin 2013, à la suite de l'audience du 7 juin 2013, par le Juge de paix du district de Lausanne, rejetant la requête de mainlevée déposée par la J.________ , à Villeneuve, à l'encontre de Q.________ , à Lausanne, notifié à la poursuivante le 24 juin 2013, vu la demande de motivation déposée par la poursuivante le 27 juin 2013, vu les motifs de la décision adressés aux parties le 9 août 2013 et notifiés le 12 août 2013 à la poursuivante, vu le recours non daté et mis à la poste le 28 ou le 29 août 2013 – le sceau postal étant partiellement illisible – interjeté par J.________ contre cette décision, vu le courrier recommandé du 19 septembre 2013 par lequel le président de la cour de céans, constatant que le recours paraissait tardif, a imparti à la recourante un délai de dix jours pour fournir toutes explications utiles sur les raisons pour lesquelles il n'aurait pas respecté le délai légal de recours, vu la lettre du 26 septembre 2013 de la recourante déclarant que lorsque les motifs de la décision lui étaient parvenus, son personnel s'apprêtait à partir en vacances et n'avait ainsi pas pu y donner suite avant le 26 août 2013;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le délai de dix jours dont disposait la poursuivante pour recourir arrivait à échéance le vendredi 22 août 2013, que le recours adressé le 28 ou le 29 août 2013 au premier juge a ainsi été déposé tardivement, que les explications de la recourante ne permettent pas de considérer que la tardiveté de son recours ne lui est pas imputable ou n'est imputable qu'à une faute légère, qu'il n'y a dès lors pas lieu de lui accorder une restitution de délai, d'ailleurs non requise, au sens de l'art. 148 CPC, que le recours, tardif, doit par conséquent être déclaré irrecevable;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juge présidant : La greffière : Du 28 octobre 2013 L'arrêt qui précède, dont la rédaction a été approuvée à huis clos, prend date de ce jour. Il est notifié, par l'envoi de photocopies, à : ‑ J.________, ‑ Mme Q.________. La Cour des poursuites et faillites considère que la valeur litigieuse est de 950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