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273 vom 17. Dezember 2013</w:t>
      </w:r>
    </w:p>
    <w:p>
      <w:r>
        <w:t>VD Tribunal cantonal, 2013-12-17, FR</w:t>
      </w:r>
    </w:p>
    <w:p>
      <w:r>
        <w:rPr>
          <w:b/>
        </w:rPr>
        <w:t xml:space="preserve">Quelle: </w:t>
      </w:r>
      <w:r>
        <w:t>https://mcp.opencaselaw.ch/entscheid/vd_findinfo_ML___2013___273</w:t>
      </w:r>
    </w:p>
    <w:p>
      <w:r>
        <w:t>FR: VD_FINDINFO ML / 2013 / 273 du 17 décembre 2013</w:t>
      </w:r>
    </w:p>
    <w:p>
      <w:r>
        <w:t>IT: VD_FINDINFO ML / 2013 / 273 del 17 dicembre 2013</w:t>
      </w:r>
    </w:p>
    <w:p>
      <w:pPr>
        <w:pStyle w:val="Heading2"/>
      </w:pPr>
      <w:r>
        <w:t>Regeste</w:t>
      </w:r>
    </w:p>
    <w:p>
      <w:r>
        <w:t>MEILLEURE FORTUNE, FÉRIES DE POURSUITE, CALCUL DU DÉLAI, OBSERVATION DU DÉLAI | 265a al. 1 LP, 239 al. 1 CPC (CH), 321 al. 2 CPC (CH)</w:t>
      </w:r>
    </w:p>
    <w:p>
      <w:pPr>
        <w:pStyle w:val="Heading2"/>
      </w:pPr>
      <w:r>
        <w:t>Volltext</w:t>
      </w:r>
    </w:p>
    <w:p>
      <w:r>
        <w:t>Vaud Tribunal cantonal Cour des poursuites et faillites 17.12.2013 ML / 2013 / 273</w:t>
      </w:r>
    </w:p>
    <w:p>
      <w:r>
        <w:t>MEILLEURE FORTUNE, FÉRIES DE POURSUITE, CALCUL DU DÉLAI, OBSERVATION DU DÉLAI | 265a al. 1 LP, 239 al. 1 CPC (CH), 321 al. 2 CPC (CH)</w:t>
      </w:r>
    </w:p>
    <w:p>
      <w:r>
        <w:t>TRIBUNAL CANTONAL KD13.012253-131724 505 Cour des poursuites et faillites ________________________________________________ Arrêt du 17 décembre 2013 __________________ Présidence de               M. SAUTEREL , président Juges :              M. Hack et M. Maillard Greffier : Mme              van Ouwenaller ***** Art. 239 al. 1 let. b et 321 al. 2 CPC; 265a al. 1 LP Vu le prononcé rendu le 9 juillet 2013, à la suite de l'audience du 23 mai 2013, par le Juge de paix du district de Lausanne, déclarant recevable l'exception pour non retour à meilleure fortune soulevée par X.________ , à Lausanne, en opposition à la poursuite n° 6'530'325 de l'Office des poursuites du district de Lausanne exercée contre lui à l'instance de la Z.________ , arrêtant à 360 fr. les frais judiciaires, compensés avec l'avance de frais de la poursuivante, et les mettant à la charge de la poursuivante, sans allocation de dépens, notifié le 10 juillet 2013 à la poursuivante, vu la requête de motivation déposée le 11 juillet 2013 par la poursuivante, vu les motifs du prononcé adressés aux parties le 26 août 2013 et notifiés à la poursuivante le lendemain, vu le recours daté du 6 septembre 2013 et mis à la poste le 9 septembre 2013 par la poursuivante, aux termes duquel celle-ci a contesté que X.________ soit dans une situation financière telle que son exception pour non retour à meilleure fortune soit recevable; attendu que selon l'art. 321 al. 2 CPC (Code de procédure civile du 19 décembre 2008; RS 272), le recours, écrit et motivé, est introduit dans le délai de dix jours qui suit la notification de la décision motivée, que le délai de recours est arrivé à échéance le vendredi 6 septembre 2013, que selon le cachet de la poste, le recours a été déposé à la poste le lundi 9 septembre 2013, que dans cette mesure, le recours est tardif; attendu que, quoi qu'il en soit, selon l'art. 265a al. 1 LP (loi sur la poursuite pour dettes et la faillite du 11 avril 1889; RS 281.1), la décision du juge n'est sujette à aucun recours (ATF 138 III 44; Huber, Basler Kommentar, n. 31 ad art. 265a LP), un recours sur les frais étant cependant ouvert (art. 110 CPC), qu'en l'espèce, le recours formé par la Z.________ ne porte pas sur les frais mais concerne bien la recevabilité de l'opposition pour non retour à meilleure fortune formée par le poursuivi, qu'il est dès lors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décembre 2013 L'arrêt qui précède, dont la rédaction a été approuvée à huis clos, prend date de ce jour. Il est notifié, par l'envoi de photocopies, à : ‑ La Z.________, ‑ M. X.________. La Cour des poursuites et faillites considère que la valeur litigieuse est de 640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