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263 vom 24. September 2013</w:t>
      </w:r>
    </w:p>
    <w:p>
      <w:r>
        <w:t>VD Tribunal cantonal, 2013-09-24, FR</w:t>
      </w:r>
    </w:p>
    <w:p>
      <w:r>
        <w:rPr>
          <w:b/>
        </w:rPr>
        <w:t xml:space="preserve">Quelle: </w:t>
      </w:r>
      <w:r>
        <w:t>https://mcp.opencaselaw.ch/entscheid/vd_findinfo_ML___2013___263</w:t>
      </w:r>
    </w:p>
    <w:p>
      <w:r>
        <w:t>FR: VD_FINDINFO ML / 2013 / 263 du 24 septembre 2013</w:t>
      </w:r>
    </w:p>
    <w:p>
      <w:r>
        <w:t>IT: VD_FINDINFO ML / 2013 / 263 del 24 settembre 2013</w:t>
      </w:r>
    </w:p>
    <w:p>
      <w:pPr>
        <w:pStyle w:val="Heading2"/>
      </w:pPr>
      <w:r>
        <w:t>Regeste</w:t>
      </w:r>
    </w:p>
    <w:p>
      <w:r>
        <w:t>MAINLEVÉE PROVISOIRE, TITRE DE MAINLEVÉE, GAGE MOBILIER, CALCUL DU DÉLAI, OBSERVATION DU DÉLAI, PARTIE À LA PROCÉDURE, ANNULABILITÉ | 279 al. 1 LP, 136 CPC (CH), 327 al. 3 let. a CPC (CH)</w:t>
      </w:r>
    </w:p>
    <w:p>
      <w:pPr>
        <w:pStyle w:val="Heading2"/>
      </w:pPr>
      <w:r>
        <w:t>Erwägungen</w:t>
      </w:r>
    </w:p>
    <w:p>
      <w:r>
        <w:rPr>
          <w:b/>
        </w:rPr>
        <w:t>E. 3</w:t>
      </w:r>
    </w:p>
    <w:p>
      <w:r>
        <w:t>let. a CPC). IV. En conséquence, le recours doit être admis et le prononcé annulé, la cause étant renvoyée au premier juge pour qu'il procède dans le sens des considérants qui précèdent. Les frais judiciaires de deuxième instance, arrêtés à 270 fr., doivent ainsi être mis à la charge de l'intimée qui conclut au rejet du recours (art. 106 al. 1 CPC). Celle-ci doit en outre verser à la recourante des dépens  qu'il convient d'arrêter à 300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