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257 vom 24. September 2013</w:t>
      </w:r>
    </w:p>
    <w:p>
      <w:r>
        <w:t>VD Tribunal cantonal, 2013-09-24, FR</w:t>
      </w:r>
    </w:p>
    <w:p>
      <w:r>
        <w:rPr>
          <w:b/>
        </w:rPr>
        <w:t xml:space="preserve">Quelle: </w:t>
      </w:r>
      <w:r>
        <w:t>https://mcp.opencaselaw.ch/entscheid/vd_findinfo_ML___2013___257</w:t>
      </w:r>
    </w:p>
    <w:p>
      <w:r>
        <w:t>FR: VD_FINDINFO ML / 2013 / 257 du 24 septembre 2013</w:t>
      </w:r>
    </w:p>
    <w:p>
      <w:r>
        <w:t>IT: VD_FINDINFO ML / 2013 / 257 del 24 settembre 2013</w:t>
      </w:r>
    </w:p>
    <w:p>
      <w:pPr>
        <w:pStyle w:val="Heading2"/>
      </w:pPr>
      <w:r>
        <w:t>Regeste</w:t>
      </w:r>
    </w:p>
    <w:p>
      <w:r>
        <w:t>MAINLEVÉE PROVISOIRE, TITRE DE MAINLEVÉE, GAGE MOBILIER, CALCUL DU DÉLAI, OBSERVATION DU DÉLAI, PARTIE À LA PROCÉDURE, ANNULABILITÉ | 136 CPC (CH), 327 al. 3 let. a CPC (CH)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CPC). IV. En conséquence, le recours doit être admis et le prononcé annulé, la cause étant renvoyée au premier juge afin qu'il procède conformément aux considérants qui précèdent. Les frais judiciaires de deuxième instance, arrêtés à 270 fr., doivent ainsi être mis à la charge de l'intimée qui conclut au rejet du recours (art. 106 al. 1 CPC). Celle-ci doit en outre verser à la recourante des dépens qu'il convient d'arrêter à 300 fr. (art. 8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