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2013 / 250 vom 11. September 2013</w:t>
      </w:r>
    </w:p>
    <w:p>
      <w:r>
        <w:t>VD Tribunal cantonal, 2013-09-11, FR</w:t>
      </w:r>
    </w:p>
    <w:p>
      <w:r>
        <w:rPr>
          <w:b/>
        </w:rPr>
        <w:t xml:space="preserve">Quelle: </w:t>
      </w:r>
      <w:r>
        <w:t>https://mcp.opencaselaw.ch/entscheid/vd_findinfo_ML___2013___250</w:t>
      </w:r>
    </w:p>
    <w:p>
      <w:r>
        <w:t>FR: VD_FINDINFO ML / 2013 / 250 du 11 septembre 2013</w:t>
      </w:r>
    </w:p>
    <w:p>
      <w:r>
        <w:t>IT: VD_FINDINFO ML / 2013 / 250 del 11 settembre 2013</w:t>
      </w:r>
    </w:p>
    <w:p>
      <w:pPr>
        <w:pStyle w:val="Heading2"/>
      </w:pPr>
      <w:r>
        <w:t>Regeste</w:t>
      </w:r>
    </w:p>
    <w:p>
      <w:r>
        <w:t>MAINLEVÉE DÉFINITIVE, TITRE DE MAINLEVÉE | 80 LP, 81 LP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mai 2013/219; COF, 25 avril 2002/153; CPF 10 mai 2001/171), que la recourante n'a ainsi pas établi sa libération, que dans ces circonstances, c'est à juste titre que le premier juge a prononcé la mainlevée définitive à concurrence des montants requis, que le recours, manifestement infondé au sens de l'art. 322 al. 1 CPC, doit être rejeté et le prononcé confirmé, que les frais judiciaires de deuxième instance, arrêtés à 570 fr., sont mis à la charge de la recourante (art. 106 al. 1 CPC).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