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244 vom 10. September 2013</w:t>
      </w:r>
    </w:p>
    <w:p>
      <w:r>
        <w:t>VD Tribunal cantonal, 2013-09-10, FR</w:t>
      </w:r>
    </w:p>
    <w:p>
      <w:r>
        <w:rPr>
          <w:b/>
        </w:rPr>
        <w:t xml:space="preserve">Quelle: </w:t>
      </w:r>
      <w:r>
        <w:t>https://mcp.opencaselaw.ch/entscheid/vd_findinfo_ML___2013___244</w:t>
      </w:r>
    </w:p>
    <w:p>
      <w:r>
        <w:t>FR: VD_FINDINFO ML / 2013 / 244 du 10 septembre 2013</w:t>
      </w:r>
    </w:p>
    <w:p>
      <w:r>
        <w:t>IT: VD_FINDINFO ML / 2013 / 244 del 10 settembre 2013</w:t>
      </w:r>
    </w:p>
    <w:p>
      <w:pPr>
        <w:pStyle w:val="Heading2"/>
      </w:pPr>
      <w:r>
        <w:t>Regeste</w:t>
      </w:r>
    </w:p>
    <w:p>
      <w:r>
        <w:t>DÉCISION D'IRRECEVABILITÉ, MOTIVATION DE LA DEMANDE, DÉLAI DE RECOURS, DISPOSITIF | 239 al. 1 CPC (CH), 239 al. 2 CPC (CH), 321 CPC (CH)</w:t>
      </w:r>
    </w:p>
    <w:p>
      <w:pPr>
        <w:pStyle w:val="Heading2"/>
      </w:pPr>
      <w:r>
        <w:t>Volltext</w:t>
      </w:r>
    </w:p>
    <w:p>
      <w:r>
        <w:t>Vaud Tribunal cantonal Cour des poursuites et faillites 10.09.2013 ML / 2013 / 244</w:t>
      </w:r>
    </w:p>
    <w:p>
      <w:r>
        <w:t>DÉCISION D'IRRECEVABILITÉ, MOTIVATION DE LA DEMANDE, DÉLAI DE RECOURS, DISPOSITIF | 239 al. 1 CPC (CH), 239 al. 2 CPC (CH), 321 CPC (CH)</w:t>
      </w:r>
    </w:p>
    <w:p>
      <w:r>
        <w:t>TRIBUNAL CANTONAL KC13.009243-131642 352 Cour des poursuites et faillites ________________________________________________ Arrêt du 10 septembre 2013 __________________ Présidence de               M. Sauterel , président Juges :              Mmes Carlsson et Byrde Greffier : Mme              van Ouwenaller ***** Art. 239 al. 2 et 321 al. 1 CPC Vu le prononcé rendu le 30 avril 2013, à la suite de l'interpellation de la poursuivie, par le Juge de paix du district de la Riviera – Pays-d'Enhaut rejetant la requête de mainlevée déposée par D.________ , à Clarens, dans la poursuite n° 6'524'240 exercée à l'encontre de B.________ , à Clarens, et arrêtant à 150 fr. les frais judiciaires mis à la charge de la poursuivante sans allocation de dépens, vu la notification de ce dispositif à la poursuivante le 2 mai 2013, vu la lettre adressée le 8 mai 2013 par la poursuivante au juge de paix, exprimant son incompréhension de la décision et demandant sa motivation, vu les motifs du prononcé, adressés le 3 juillet 2013 aux parties, vu la transmission du dossier par le juge de paix à la cour de céans, autorité de recours, le 7 août 2013, vu la lettre du 9 août 2013 du président de la cour de céans à la poursuivante lui impartissant un délai de cinq jours pour préciser si sa lettre reçue le 10 mai 2013 par le juge de paix doit se comprendre comme un recours ou comme une demande de motivation, vu la lettre du 14 août 2013 par laquelle la poursuivie a exposé sa situation, sans indiquer si sa lettre datée du 8 mai 2013 constituait ou non un recours;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l'acte du 8 mai 2013, à supposer qu'il s'agisse d'un recours,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 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la lettre du 8 mai 2013 ne contient aucune conclusion ni aucun grief, motif ou moyen de recours reconnaissable contre la décision de mainlevée, la recourante exposant seulement les difficultés rencontrées avec son époux, les problèmes financiers qui en ont découlé et son incompréhension de la décision, que par ailleurs, interpellée sur la nature de son écriture, D.________ n'a pas précisé si sa lettre du 8 mai 2013 constituait ou non un recours, qu'au vu de ce qui précède,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définitive, l'acte du 8 mai 2013, s'il s'agit d'un recours,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10 septembre 2013 L'arrêt qui précède, dont la rédaction a été approuvée à huis clos, prend date de ce jour. Il est notifié, par l'envoi de photocopies, à : ‑ Mme D.________, ‑ M. B.________. La Cour des poursuites et faillites considère que la valeur litigieuse est de 2'090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