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217 vom 23. August 2013</w:t>
      </w:r>
    </w:p>
    <w:p>
      <w:r>
        <w:t>VD Tribunal cantonal, 2013-08-23, FR</w:t>
      </w:r>
    </w:p>
    <w:p>
      <w:r>
        <w:rPr>
          <w:b/>
        </w:rPr>
        <w:t xml:space="preserve">Quelle: </w:t>
      </w:r>
      <w:r>
        <w:t>https://mcp.opencaselaw.ch/entscheid/vd_findinfo_ML___2013___217</w:t>
      </w:r>
    </w:p>
    <w:p>
      <w:r>
        <w:t>FR: VD_FINDINFO ML / 2013 / 217 du 23 août 2013</w:t>
      </w:r>
    </w:p>
    <w:p>
      <w:r>
        <w:t>IT: VD_FINDINFO ML / 2013 / 217 del 23 agosto 2013</w:t>
      </w:r>
    </w:p>
    <w:p>
      <w:pPr>
        <w:pStyle w:val="Heading2"/>
      </w:pPr>
      <w:r>
        <w:t>Regeste</w:t>
      </w:r>
    </w:p>
    <w:p>
      <w:r>
        <w:t>MAINLEVÉE DÉFINITIVE, TITRE DE MAINLEVÉE, CHOSE JUGÉE, NOTIFICATION DE LA DÉCISION, DÉCISION DE COTISATIONS | 80 LP</w:t>
      </w:r>
    </w:p>
    <w:p>
      <w:pPr>
        <w:pStyle w:val="Heading2"/>
      </w:pPr>
      <w:r>
        <w:t>Erwägungen</w:t>
      </w:r>
    </w:p>
    <w:p>
      <w:r>
        <w:rPr>
          <w:b/>
        </w:rPr>
        <w:t>E. 2</w:t>
      </w:r>
    </w:p>
    <w:p>
      <w:r>
        <w:t>LPGA (loi fédérale du 6 octobre 2000 sur la partie générale des assurances sociales, RS 830.1) , applicable par renvoi des articles premiers LAVS (loi fédérale du 20 décembre 1946 sur l’assurance-vieillesse et survivants; RS 831.10), LAI (loi fédérale du 19 juin 1959 sur l’assurance-invalidité; RS 831.20), LAPG (loi fédérale du 25 septembre 1952 sur les allocations pour perte de gain en cas de service et de maternité; RS 834.1), LACI (loi fédérale du 25 juin 1982 sur l’assurance-chômage obligatoire et l’indemnité en cas d’insolvabilité; RS 837.0) et LAFam (loi fédérale du 24 mars 2006 sur les allocations familiales; RS 836.2),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qu'en l'espèce, la poursuivante a produit, à l'appui de sa requête de mainlevée, une décision et un décompte du 27 août 2012, chacun de ces documents indiquant les voies de droit à disposition du poursuivi, que la poursuivante a attesté, dans sa requête de mainlevée, que le poursuivi n'a pas fait opposition ni déposé de recours en temps utile de sorte que sa décision est passée en force de chose jugée, que la poursuivante n'a produit aucune pièce attestant que sa décision ou son décompte ont été notifiés au poursuivi,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qu'en l'occurrence, le recourant n'a à aucun moment de la procédure de première ou de deuxième instance contesté avoir reçu les décisions produites, qu'en définitive, il convient de considérer que le recourant a reçu la décision et le décompte de cotisation du 27 août 2012, que ces documents valent ainsi titre à la mainlevée définitive; attendu que le recourant remet en cause la décision de la caisse à l'origine de la poursuite, que ce moyen est irrecevable en procédure de mainlevée, dans laquelle le juge n'a pas le pouvoir de revoir, en fait ou en droit, la décision invoquée; attendu que recours, manifestement infondé au sens de l'art. 322 al. 1 CPC, doit être rejeté et le prononcé confirmé, que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