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211 vom 31. Juli 2013</w:t>
      </w:r>
    </w:p>
    <w:p>
      <w:r>
        <w:t>VD Tribunal cantonal, 2013-07-31, FR</w:t>
      </w:r>
    </w:p>
    <w:p>
      <w:r>
        <w:rPr>
          <w:b/>
        </w:rPr>
        <w:t xml:space="preserve">Quelle: </w:t>
      </w:r>
      <w:r>
        <w:t>https://mcp.opencaselaw.ch/entscheid/vd_findinfo_ML___2013___211</w:t>
      </w:r>
    </w:p>
    <w:p>
      <w:r>
        <w:t>FR: VD_FINDINFO ML / 2013 / 211 du 31 juillet 2013</w:t>
      </w:r>
    </w:p>
    <w:p>
      <w:r>
        <w:t>IT: VD_FINDINFO ML / 2013 / 211 del 31 luglio 2013</w:t>
      </w:r>
    </w:p>
    <w:p>
      <w:pPr>
        <w:pStyle w:val="Heading2"/>
      </w:pPr>
      <w:r>
        <w:t>Regeste</w:t>
      </w:r>
    </w:p>
    <w:p>
      <w:r>
        <w:t>INTÉRÊT DIGNE DE PROTECTION, OBSERVATION DU DÉLAI, DÉLAI DE RECOURS | 321 al. 2 CPC (CH), 59 al. 2 let. a CPC (CH)</w:t>
      </w:r>
    </w:p>
    <w:p>
      <w:pPr>
        <w:pStyle w:val="Heading2"/>
      </w:pPr>
      <w:r>
        <w:t>Volltext</w:t>
      </w:r>
    </w:p>
    <w:p>
      <w:r>
        <w:t>Vaud Tribunal cantonal Cour des poursuites et faillites 31.07.2013 ML / 2013 / 211</w:t>
      </w:r>
    </w:p>
    <w:p>
      <w:r>
        <w:t>INTÉRÊT DIGNE DE PROTECTION, OBSERVATION DU DÉLAI, DÉLAI DE RECOURS | 321 al. 2 CPC (CH), 59 al. 2 let. a CPC (CH)</w:t>
      </w:r>
    </w:p>
    <w:p>
      <w:r>
        <w:t>TRIBUNAL CANTONAL KC12.019754-131391 307 Cour des poursuites et faillites ________________________________________________ Arrêt du 31 juillet 2013 __________________ Présidence de               M. Sauterel , président Juges :              Mmes Carlsson et Rouleau Greffier : Mme              Joye ***** Art. 59 al. 2 let. a et 321 al. 2 CPC Vu le prononcé de mainlevée rendu le 6 juillet 2012, à la suite de l'audience du 4 juillet 2012, par le Juge de paix du district de La Riviera – Pays-d’Enhaut dans la poursuite n° 6'210'887 de l’Office des poursuites de La Riviera – Pays-d’Enhaut dirigée contre M.________ , à Clarens, à l’instance de Q.________ , à Crissier (affaire [...]), vu l’acte du 4 juillet 2013 par lequel M.________ déclare déposer « recours / appel / demande de réforme / demande de révision / plainte / action en annulation de dette (ou toute(s) autre(s) procédure(s) que vous jugerez utile)  suite à la main levée d’opposition (…) la quelle a mené à ma mise en faillite le 14 février 2013», mentionnant la référence [...], vu les demandes d’octroi de l’effet suspensif et de l’assistance judiciaire contenues dans cet acte ; attendu que, selon l'art. 321 al. 2 CPC (Code de procédure civile du 19 décembre 2008; RS 272), le recours contre une décision rendue en procédure sommaire doit être introduit dans le délai de dix jours à compter de la notification de la décision motivée, que l’acte de recours du 4 juillet 2013, dirigé contre le prononcé de mainlevée du 6 juillet 2012, est manifestement tardif et donc irrecevable, qu’en outre, selon une pièce annexée au recours, la poursuite en cause a été retirée le 14 mars 2013, que la recourante n’a ainsi aucun intérêt digne de protection au sens de l’art. 59 al. 2 let. a CPC pour recourir contre le prononcé de mainlevée, qu’en l'absence d'un tel intérêt – qui doit être constatée d'office (art. 60 CPC) – le recours de M.________ doit également être déclarée irrecevable pour ce motif, que dans ces conditions, les demandes d’effet suspensif et d’assis-tance judiciaire présentées dans le cadre du recours sont sans objet ; attendu que le présent arrêt est rendu sans frais ni dépens (art. 20a al. 2 ch. 5 LP, 61 al. 2 let. a et 62 al. 2 OELP, ordonnance sur les émoluments perçus en application de la LP). Par ces motifs, la Cour des poursuites et faillites du Tribunal cantonal, statuant à huis clos en sa qualité d'autorité de recours en matière sommaire de poursuites et de faillite, prononce : I. Le recours est irrecevable. II. La demande d’effet suspensif est sans objet. III. La demande d’assistance judiciaire est sans objet. IV. L’arrêt, rendu sans frais ni dépens, est exécutoire. Le président :               La greffière : Du 31 juillet 2013 L'arrêt qui précède, dont la rédaction a été approuvée à huis clos, prend date de ce jour. Il est notifié, par l'envoi de photocopies, à : ‑ Mme M.________, ‑ M. Daniel Schwab, agent d'affaires breveté (pour Q.________), La Cour des poursuites et faillites considère que la valeur litigieuse est de 2’781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