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199 vom 10. Juli 2013</w:t>
      </w:r>
    </w:p>
    <w:p>
      <w:r>
        <w:t>VD Tribunal cantonal, 2013-07-10, FR</w:t>
      </w:r>
    </w:p>
    <w:p>
      <w:r>
        <w:rPr>
          <w:b/>
        </w:rPr>
        <w:t xml:space="preserve">Quelle: </w:t>
      </w:r>
      <w:r>
        <w:t>https://mcp.opencaselaw.ch/entscheid/vd_findinfo_ML___2013___199</w:t>
      </w:r>
    </w:p>
    <w:p>
      <w:r>
        <w:t>FR: VD_FINDINFO ML / 2013 / 199 du 10 juillet 2013</w:t>
      </w:r>
    </w:p>
    <w:p>
      <w:r>
        <w:t>IT: VD_FINDINFO ML / 2013 / 199 del 10 luglio 2013</w:t>
      </w:r>
    </w:p>
    <w:p>
      <w:pPr>
        <w:pStyle w:val="Heading2"/>
      </w:pPr>
      <w:r>
        <w:t>Regeste</w:t>
      </w:r>
    </w:p>
    <w:p>
      <w:r>
        <w:t>DROIT D'ÊTRE ENTENDU, NOTIFICATION IRRÉGULIÈRE, NULLITÉ | 84 al. 2 LP, 136 CPC (CH), 138 al. 1 CPC (CH), 138 al. 3 let. a CPC (CH), 253 CPC (CH), 256 al. 1 CPC (CH), 53 CPC (CH)</w:t>
      </w:r>
    </w:p>
    <w:p>
      <w:pPr>
        <w:pStyle w:val="Heading2"/>
      </w:pPr>
      <w:r>
        <w:t>Erwägungen</w:t>
      </w:r>
    </w:p>
    <w:p>
      <w:r>
        <w:rPr>
          <w:b/>
        </w:rPr>
        <w:t>E. 27</w:t>
      </w:r>
    </w:p>
    <w:p>
      <w:r>
        <w:t>ad art. 138 CPC). Ainsi, en cas d'échec de la notification du pli contenant la convocation à l'audience et la requête de mainlevée, ou la requête seule avec délai pour se déterminer par écrit, comme en l'espèce, le poursuivi n'est pas partie à la procédure de mainlevée. Par conséquent, il ne doit pas s'attendre à recevoir une décision. Il s'ensuit qu'en l'espèce, la fiction de la notification ne peut pas s'appliquer au dispositif de la décision de mainlevée adressé sous pli recommandé le 5 février 2013 à la recourante, qui ne l'a pas retiré et n'a dès lors pas reçu cette décision. e) Un jugement de mainlevée est nul quand le poursuivi n'a reçu ni la convocation à l'audience et la requête de mainlevée, ou la requête seule avec délai pour se déterminer par écrit, ni le jugement de mainlevée (ATF 102 III 133, rés. in JT 1978 II 62; CPF, 16 juin 2011/213 et les références citées). En effet, dans l'hypothèse où la partie poursuivie n'a pas eu connaissance d'une manière ou d'une autre de la procédure de mainlevée ni du prononcé rendu, elle ne peut pas recourir contre ce prononcé en soulevant le moyen tiré de l'assignation irrégulière (CPF, 25 juin 2009/193). Au demeurant, en pareil cas, la poursuite ne peut pas être continuée (TF 7B.153/2006 du 13 octobre 2006 c. 3.1). Selon la jurisprudence rendue sous l'égide de l'ancien droit de procédure, dans une telle situation, le prononcé devait être annulé d'office (CPF, 9 décembre 2010/470; CPF, 1 er juillet 2010/284). Cette jurisprudence reste applicable sous le nouveau droit (CPF, 11 juillet 2012/270). En effet, le pouvoir d'examen en droit du juge saisi d'un recours au sens de l'art. 319 ss CPC est le même qu'en cas d'appel ordinaire (art. 308 ss CPC), donc en tous points similaires à celui du premier juge (Jeandin, in Code de procédure civile commenté, n. 2 ad art. 320 CPC). D'après la jurisprudence, la cour de céans est ainsi habilitée à constater la violation des règles de procédure civile sur l'assignation, même si le grief n'a pas été expressément soulevé (CPF, 11 juillet 2012/270 précité; CPF, 15 octobre 2012/399). Il y a donc lieu d'annuler d'office le prononcé de mainlevée attaqué. III. Vu ce qui précède, le recours doit être admis, le prononcé annulé et la cause renvoyée au premier juge pour qu'il fasse notifier la requête de mainlevée à la recourante et lui fixe un délai pour se déterminer. Le présent arrêt peut être rendu sans frais (art. 107 al. 2 CPC; CPF, 15 octobre 2012/399 précité et les références citées). L'avance de frais, par 510 fr., effectuée par la recourante, doit par conséquent lui être restituée. Il n'est pas alloué de dépens de deuxième instance, la recourante ayant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