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189 vom 3. Juli 2013</w:t>
      </w:r>
    </w:p>
    <w:p>
      <w:r>
        <w:t>VD Tribunal cantonal, 2013-07-03, FR</w:t>
      </w:r>
    </w:p>
    <w:p>
      <w:r>
        <w:rPr>
          <w:b/>
        </w:rPr>
        <w:t xml:space="preserve">Quelle: </w:t>
      </w:r>
      <w:r>
        <w:t>https://mcp.opencaselaw.ch/entscheid/vd_findinfo_ML___2013___189</w:t>
      </w:r>
    </w:p>
    <w:p>
      <w:r>
        <w:t>FR: VD_FINDINFO ML / 2013 / 189 du 3 juillet 2013</w:t>
      </w:r>
    </w:p>
    <w:p>
      <w:r>
        <w:t>IT: VD_FINDINFO ML / 2013 / 189 del 3 luglio 2013</w:t>
      </w:r>
    </w:p>
    <w:p>
      <w:pPr>
        <w:pStyle w:val="Heading2"/>
      </w:pPr>
      <w:r>
        <w:t>Regeste</w:t>
      </w:r>
    </w:p>
    <w:p>
      <w:r>
        <w:t>MAINLEVÉE PROVISOIRE, TITRE DE MAINLEVÉE | 82 al. 1 LP</w:t>
      </w:r>
    </w:p>
    <w:p>
      <w:pPr>
        <w:pStyle w:val="Heading2"/>
      </w:pPr>
      <w:r>
        <w:t>Volltext</w:t>
      </w:r>
    </w:p>
    <w:p>
      <w:r>
        <w:t>Vaud Tribunal cantonal Cour des poursuites et faillites 03.07.2013 ML / 2013 / 189</w:t>
      </w:r>
    </w:p>
    <w:p>
      <w:r>
        <w:t>MAINLEVÉE PROVISOIRE, TITRE DE MAINLEVÉE | 82 al. 1 LP</w:t>
      </w:r>
    </w:p>
    <w:p>
      <w:r>
        <w:t>TRIBUNAL CANTONAL KC12.041625-130875 272 Cour des poursuites et faillites ________________________________________________ Arrêt du 3 juillet 2013 __________________ Présidence de               M. Sauterel , président Juges :              Mme Carlsson et M. Maillard Greffier : Mme              Nüssli ***** Art. 82 al. 1 LP Vu le prononcé rendu le 24 janvier 2013 par le Juge de paix du district de l’Ouest lausannois, à la suite de l’audience qui s’est tenue par défaut des parties le 15 janvier 2013, rejetant la requête de mainlevée de l’opposition déposée par O.________ , à Lausanne, dans la poursuite n° 6'216'539 de l’Office des poursuites du district de l’Ouest lausannois, notifiée le 15 mai 2012 à T.________ Sàrl , à Renens, portant sur le paiement de la somme de 5'600 fr., plus intérêt à 5 % dès le 1 er avril 2012 et mentionnant comme titre de la créance ou cause de l’obligation : « Salaires impayés pour novembre 2011, février et mars 2012 », vu le recours déposé le 4 février 2013 par O.________, vu l’écriture, accompagnée de pièces, déposée par le recourant le 22 février 2013, vu le prononcé motivé adressé pour notification aux parties le 5 mars 2013, vu les pièces du dossier ; attendu que le recours a été déposé dans le délai de demande de motivation, soit en temps utile (art. 239 al. 2 CPC ; Code de procédure civile du 19 décembre 2008, RS 272 et art. 321 al. 2 CPC), qu’il est suffisamment motivé de sorte qu’il est recevable formellement (art. 321 al. 1 CPC), que les pièces produites avec l’écriture du 22 février 2013 sont irrecevables en vertu de l’art. 326 al. 1 CPC, qu’en effet, selon cette disposition, les allégations de fait et les preuves nouvelles sont irrecevables, le tribunal de deuxième instance devant statuer sur un état de fait identique à celui examiné par le premier juge, que cette règle, stricte, s’explique par le fait que l’instance de recours a pour mission de contrôler la conformité au droit de la décision entreprise, mais pas de poursuivre la procédure de première instance, attendu que le recourant et poursuivant n’a produit aucune pièce à l’appui de sa requête de mainlevée du 2 octobre 2012, contrairement à ce qui est mentionné dans celle-ci, que le premier juge a considéré qu’il ne disposait d’aucun titre à la mainlevée de l’opposition ; considérant que la procédure de mainlevée est une procédure simplifiée et rapide réservée au poursuivant qui se trouve au bénéfice d'une reconnaissance de dette (art. 82 LP) ou d'un jugement exécutoire (art. 80 LP), que seule est recevable, dans la procédure de mainlevée, la preuve par les pièces que les parties remettent au premier juge (Panchaud/Caprez, La mainlevée d'opposition, § 157), que, selon l’art. 82 al. 1 LP,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que seuls sont propres à la mainlevée les documents signés du poursuivi ou de son représentant (Panchaud/Caprez, op. cit., § 6), qu’en l’espèce le recourant n’a produit aucune pièce, que c’est donc à bon droit que le premier juge a refusé la mainlevée ; considérant que le recours, manifestement infondé au sens de l’art. 322 al.1 CPC, doit être rejeté, que les frais du présent arrêt, par 270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3 juillet 2013 L'arrêt qui précède, dont la rédaction a été approuvée à huis clos, prend date de ce jour. Il est notifié, par l'envoi de photocopies, à : ‑ M. O.________, ‑ T.________ Sàrl. La Cour des poursuites et faillites considère que la valeur litigieuse est de 1’840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