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 vom 31. Januar 2013</w:t>
      </w:r>
    </w:p>
    <w:p>
      <w:r>
        <w:t>VD Tribunal cantonal, 2013-01-31, FR</w:t>
      </w:r>
    </w:p>
    <w:p>
      <w:r>
        <w:rPr>
          <w:b/>
        </w:rPr>
        <w:t xml:space="preserve">Quelle: </w:t>
      </w:r>
      <w:r>
        <w:t>https://mcp.opencaselaw.ch/entscheid/vd_findinfo_ML___2013___18</w:t>
      </w:r>
    </w:p>
    <w:p>
      <w:r>
        <w:t>FR: VD_FINDINFO ML / 2013 / 18 du 31 janvier 2013</w:t>
      </w:r>
    </w:p>
    <w:p>
      <w:r>
        <w:t>IT: VD_FINDINFO ML / 2013 / 18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18</w:t>
      </w:r>
    </w:p>
    <w:p>
      <w:r>
        <w:t>DROIT D'ÊTRE ENTENDU, PROLONGATION DU DÉLAI | 144 al. 2 CPC (CH), 147 al. 3 CPC (CH), 253 CPC (CH), 53 al. 1 CPC (CH)</w:t>
      </w:r>
    </w:p>
    <w:p>
      <w:r>
        <w:t>TRIBUNAL CANTONAL KC12.011178-121606 38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A.H.________ , à Chevilly, contre le prononcé rendu le 6 juillet 2012, à la suite de l'interpellation de la partie poursuivie, par le Juge de paix du district de Morges, dans la poursuite n° 5'951'480 de l'Office des poursuites du district de Morges exercée contre le recourant à l'instance de l' Etat de Vaud , représenté par l' Office d'impôt du district de Morges , à Morges. Vu les pièces au dossier, la cour considère : En fait : 1. a) Le 10 octobre 2011, à la réquisition de l'Office d'impôt du district de Morges, représentant l'Etat de Vaud, l'Office des poursuites du district de Morges a notifié à A.H.________, dans la poursuite n° 5'951'480, un commandement de payer la somme de 1'000 fr., plus intérêt à 3,5 % l'an dès le 6 décembre 2010, indiquant comme titre de la créance et cause de l'obligation : "Amende d'ordre défaut DI ICC 2008 (Etat de Vaud) selon décision de taxation du 04.11.2010 et du décompte final du 08.11.2010; sommation adressée le 15.02.2011". Le poursuivi a formé opposition totale. b) Le 20 mars 2012, le poursuivant a saisi le Juge de paix du district de Morges d'une requête de mainlevée définitive d'opposition, à l'appui de laquelle il a produit, outre l'original du commandement de payer précité, les pièces suivantes : - une copie conforme de la sommation, adressée le 31 août 2009 au poursuivi et à son épouse B.H.________, de déposer dans les trente jours leur déclaration d’impôt 2008, avec avis que le contribuable est passible d’une amende pouvant atteindre 10'000 fr. en cas d’inexécution; - une copie conforme à l’original de la décision de taxation définitive et calcul de l’impôt 2008 et prononcé d’amende adressée le 4 novembre 2010 au poursuivi et à son épouse, leur infligeant notamment une amende de 1'000 fr. pour l'impôt cantonal - en application de l’art. 241 LI [loi sur les impôts directs cantonaux; RSV 642.11] -, comportant l'indication de la voie de la réclamation écrite contre le prononcé d’amende, auprès de l’autorité de taxation, dans les trente jours dès sa notification, ainsi que la mention, apposée avec un sceau humide, selon laquelle : "Aucun recours n’ayant été interjeté contre la taxation, dans le délai légal, elle est devenue définitive et exécutoire". Le poursuivant a en outre attesté dans sa requête de mainlevée que le contribuable n'avait pas contesté le prononcé d'amende; - une copie conforme à l'original du décompte final intitulé "Amende d’ordre défaut de déclaration d’impôt ICC 2008" adressé le 8 novembre 2010 au poursuivi et à son épouse avec un bulletin de versement, leur fixant un délai de paiement de l’amende de 1'000 fr. au 5 décembre 2010, exposant notamment à son verso que le décompte suit la taxation, qu’il porte intérêts conformément à la LI,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Le poursuivant a attesté, dans sa requête de mainlevée, que le contribuable n’avait pas contesté le décompte; - une copie conforme à l'original du rappel valant sommation, adressé au poursuivi et à son épouse le 15 février 2011, de payer le montant de l’amende de 1'000 fr. dans les dix jours, l’intérêt moratoire étant dû; - un relevé de compte adressé le 20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18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120 fr. les frais judiciaires, compensés avec l'avance de frais du poursuivant, les a mis à la charge du poursuivi et dit que ce dernier devait rembourser au poursuivant son avance de frais à concurrence de 120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Le poursuivant et intimé au recours ne s’est pas déterminé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180 fr., doivent être mis à la charge de l'Etat, le recourant étant tenu, dans la mesure de l'art. 123 CPC, au remboursement de ces frais. Il n'y a pas lieu d'allouer des dépens de deuxième instance à l'intimé,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l'Etat. IV. A.H.________,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A.H.________, ‑ Office d'impôt du district de Morges (pour l'Etat de Vaud).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