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178 vom 20. Juni 2013</w:t>
      </w:r>
    </w:p>
    <w:p>
      <w:r>
        <w:t>VD Tribunal cantonal, 2013-06-20, FR</w:t>
      </w:r>
    </w:p>
    <w:p>
      <w:r>
        <w:rPr>
          <w:b/>
        </w:rPr>
        <w:t xml:space="preserve">Quelle: </w:t>
      </w:r>
      <w:r>
        <w:t>https://mcp.opencaselaw.ch/entscheid/vd_findinfo_ML___2013___178</w:t>
      </w:r>
    </w:p>
    <w:p>
      <w:r>
        <w:t>FR: VD_FINDINFO ML / 2013 / 178 du 20 juin 2013</w:t>
      </w:r>
    </w:p>
    <w:p>
      <w:r>
        <w:t>IT: VD_FINDINFO ML / 2013 / 178 del 20 giugno 2013</w:t>
      </w:r>
    </w:p>
    <w:p>
      <w:pPr>
        <w:pStyle w:val="Heading2"/>
      </w:pPr>
      <w:r>
        <w:t>Regeste</w:t>
      </w:r>
    </w:p>
    <w:p>
      <w:r>
        <w:t>MAINLEVÉE PROVISOIRE, TITRE DE MAINLEVÉE, LIVRAISON, SIGNATURE, NOTORIÉTÉ, RAISON INDIVIDUELLE, IDENTITÉ | 82 LP</w:t>
      </w:r>
    </w:p>
    <w:p>
      <w:pPr>
        <w:pStyle w:val="Heading2"/>
      </w:pPr>
      <w:r>
        <w:t>Volltext</w:t>
      </w:r>
    </w:p>
    <w:p>
      <w:r>
        <w:t>Vaud Tribunal cantonal Cour des poursuites et faillites 20.06.2013 ML / 2013 / 178</w:t>
      </w:r>
    </w:p>
    <w:p>
      <w:r>
        <w:t>MAINLEVÉE PROVISOIRE, TITRE DE MAINLEVÉE, LIVRAISON, SIGNATURE, NOTORIÉTÉ, RAISON INDIVIDUELLE, IDENTITÉ | 82 LP</w:t>
      </w:r>
    </w:p>
    <w:p>
      <w:r>
        <w:t>TRIBUNAL CANTONAL KC13.011139-131006 262 Cour des poursuites et faillites ________________________________________________ Arrêt du 20 juin 2013 __________________ Présidence de               M. Sauterel , président Juges :              M. Hack et Mme Rouleau Greffier : Mme              van Ouwenaller ***** Art. 82 LP Vu le prononcé rendu le 23 avril 2013, à la suite de l'audience du 16 avril 2013, par le Juge de paix du district d'Aigle, rejetant la requête de mainlevée déposée par T.________ SA , à Collombey, à l'encontre de C.________ , à Aigle, arrêtant à 90 fr. les frais judiciaires, et mettant ces frais à la charge de la poursuivante, sans allocation de dépens, vu les motifs de la décision, adressés le 16 mai 2013 aux parties et notifiés à la poursuivante le lendemain, vu le recours adressé par la poursuivante au premier juge le 17 mai 2013, vu les pièces au dossier; attendu que selon l'art. 321 al. 1 et 2 CPC (Code de procédure civile du 19 décembre 2008; RS 272), le recours, écrit et motivé, est introduit auprès de l'instance de recours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2005; RS 183.110]), doit être également appliqué dans la présente procédure (Tappy, Les voies de droit du nouveau Code de procédure civile, in JT 2010 III 115, spéc. p. 113), que le recours formé par la poursuivante par lettre du 17 mai 2013 adressée au Juge de paix du district d'Aigle dans le délai de recours, a ainsi été déposé en temps utile et dans les formes requises de sorte qu'il est recevable; attendu qu'à l'appui de sa requête de mainlevée du 15 mars 2013, la poursuivante a produit: - une copie du commandement de payer, frappé d'opposition, notifié le 15 janvier 2013 à C.________, rue [...], dans la poursuite n° 6'476'969 de l'Office des poursuites du district d'Aigle, à la réquisition de T.________ SA, portant sur le montant de 498 fr. 55 avec intérêt à 5 % l'an dès le 31 août 2012, mentionnant comme titre de la créance ou cause de l'obligation "Concerne: Restaurant [...]. [./.] Facture 20121078 du 31.08.2012"; - une copie d'un bulletin de livraison n° 20125420 du 31 août 2012 adressé au Restaurant [...], rue [...], portant sur la livraison de sacs poubelle, de bobines, de film alimentaire et de serviettes de table; au bas de ce bulletin, figure la signature du destinataire; - une copie d'une facture n° 2021078 adressée par la poursuivante au Restaurant [...] le 31 août 2012, portant sur l'achat de sacs poubelle, de bobines, de film alimentaire et de serviettes de table pour le montant total de 498 fr. 55; que lors de l'audience du 16 avril 2013, le poursuivi a produit une photocopie de la facture n° 2021078 à laquelle était agrafé un récépissé d'un montant de 498 fr. 55 versé en faveur d' [...]; attendu que le premier juge a considéré que le bulletin de livraison signé ne comportait pas le prix des marchandises de sorte qu'il ne constituait pas une reconnaissance de dette, que la condition de l'identité entre le poursuivi et le débiteur désigné dans le titre n'était pas remplie et que pour ces raisons il convenait de ne pas prononcer la mainlevée de l'opposition, qu'il a par ailleurs estimé que le poursuivi n'avait pas rendu vraisemblable sa libération, le récépissé produit étant établi en faveur d'une autre entreprise que la poursuivante; attendu que le créancier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RS 281.1]), que constitue une reconnaissance de dette l'acte authentique ou sous seing privé d'où résulte la volonté du poursuivi de payer au poursuivant, sans réserve ni condition, une somme d'argent déterminée, ou aisément déterminable, et échue (Panchaud/Caprez, La mainlevée d'opposition, §1; Gilliéron, Commentaire de la loi fédérale sur la poursuite pour dettes et la faillite, n. 29 ad art. 82 LP; ATF 136 III 624 c. 4.2.2; ATF 132 III 480 c. 4.9, JT 2007 II 75; ATF 130 III 87 c. 3.1, JT 2004 II 118; ATF 122 III 125 c. 2, JT 1998 II 82), que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qu'enfin, le titre produit pour valoir reconnaissance de dette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que la reconnaissance de dette peut résulter du rapprochement de plusieurs pièces (Panchaud/Caprez, op. cit., § 6), en particulier de confirmations de commande ou de bulletins de livraison accompagnés de factures,  à condition que la signature figure sur celui des documents qui impose une obligation au poursuivi et qui a un caractère décisif (Gilliéron, op. cit., n. 33 ad art. 82 LP), que selon la jurisprudence de la cour de céans, en présence d'un bulletin de livraison qui est signé par le poursuivi et d'une facture qui ne l'est pas, la mainlevée ne peut être accordée que si le bulletin de livraison mentionne le prix de la marchandise livrée ou, à tout le moins, des prix unitaires (CPF, 27 mai 2013/216; CPF, 11 septembre 2012/363; CPF, 25 juin 2012/246; CPF, 9 août 2011/280; CPF, 22 mai 2003/185; CPF, 6 mai 1999/190), qu'en effet, par sa signature, l’intéressé reconnaît avoir reçu la marchandise décrite sur le bulletin de livraison mais ne confirme pas le prix de celle-ci, sauf si ce prix figure sur le document signé, qu'en l'espèce, la poursuivante a produit un bulletin de livraison signé par le destinataire de la marchandise, mentionnant quels articles sont livrés ainsi que la quantité de chacun de ces articles, que ces mentions correspondent à celles figurant sur la facture produite, que cependant aucun prix ne figure sur le bulletin de livraison, qu'il s'agisse d'un prix global ou unitaire, qu'en conséquence, conformément à la jurisprudence précitée, on ne peut pas considérer que le poursuivi ait reconnu devoir le prix qui figure sur les factures, qu'en effet, par sa signature, celui-ci a uniquement admis avoir reçu la livraison des produits, que cela ne justifie pas de prononcer la mainlevée de l'opposition pour le montant réclamé, qu'à l'appui de son recours, la poursuivante a relevé que l'adresse figurant sur le récépissé produit par le poursuivi est la sienne et non celle d' [...], comme indiqué sur ce document, que le premier juge n'a de toute manière pas tenu compte du versement à [...], qu'on ne voit pas très bien ce que la recourante entend faire valoir par cet argument, que quoi qu'il en soit, elle ne dispose pas, comme on l'a vu, d'une reconnaissance de dette; attendu que le recours, manifestement infondé au sens de l'art. 322 al. 1 CPC, doit être rejeté et le prononcé confirmé, que les frais judiciaires de deuxième instance, arrêtés à 135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IV. L'arrêt est exécutoire. Le président :               La greffière : Du 20 juin 2013 L'arrêt qui précède, dont la rédaction a été approuvée à huis clos, prend date de ce jour. Il est notifié, par l'envoi de photocopies, à : ‑ T.________ SA, ‑ M. C.________. La Cour des poursuites et faillites considère que la valeur litigieuse est de 498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