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173 vom 6. Juni 2013</w:t>
      </w:r>
    </w:p>
    <w:p>
      <w:r>
        <w:t>VD Tribunal cantonal, 2013-06-06, FR</w:t>
      </w:r>
    </w:p>
    <w:p>
      <w:r>
        <w:rPr>
          <w:b/>
        </w:rPr>
        <w:t xml:space="preserve">Quelle: </w:t>
      </w:r>
      <w:r>
        <w:t>https://mcp.opencaselaw.ch/entscheid/vd_findinfo_ML___2013___173</w:t>
      </w:r>
    </w:p>
    <w:p>
      <w:r>
        <w:t>FR: VD_FINDINFO ML / 2013 / 173 du 6 juin 2013</w:t>
      </w:r>
    </w:p>
    <w:p>
      <w:r>
        <w:t>IT: VD_FINDINFO ML / 2013 / 173 del 6 giugno 2013</w:t>
      </w:r>
    </w:p>
    <w:p>
      <w:pPr>
        <w:pStyle w:val="Heading2"/>
      </w:pPr>
      <w:r>
        <w:t>Regeste</w:t>
      </w:r>
    </w:p>
    <w:p>
      <w:r>
        <w:t>DÉCISION D'IRRECEVABILITÉ, MOTIVATION DE LA DEMANDE | 321 al. 1 CPC (CH)</w:t>
      </w:r>
    </w:p>
    <w:p>
      <w:pPr>
        <w:pStyle w:val="Heading2"/>
      </w:pPr>
      <w:r>
        <w:t>Volltext</w:t>
      </w:r>
    </w:p>
    <w:p>
      <w:r>
        <w:t>Vaud Tribunal cantonal Cour des poursuites et faillites 06.06.2013 ML / 2013 / 173</w:t>
      </w:r>
    </w:p>
    <w:p>
      <w:r>
        <w:t>DÉCISION D'IRRECEVABILITÉ, MOTIVATION DE LA DEMANDE | 321 al. 1 CPC (CH)</w:t>
      </w:r>
    </w:p>
    <w:p>
      <w:r>
        <w:t>TRIBUNAL CANTONAL KC12.043074-131061 242 Cour des poursuites et faillites ________________________________________________ Arrêt du 6 juin 2013 __________________ Présidence de               M. Sauterel , président Juges :              M. Hack et Mme Rouleau Greffier : Mme              van Ouwenaller ***** Art. 321 al. 1 CPC Vu le prononcé rendu le 4 février 2013, à la suite de l'interpellation de la poursuivie, par le Juge de paix du district de l'Ouest lausannois, rejetant la requête de mainlevée déposée par le R.________ , à Martigny, dans la poursuite n° 6'225'687 de l'Office des poursuites du district de l'Ouest lausannois, exercée à son instance à l'encontre de W.________ , à Lausanne, arrêtant à 180 fr. les frais judiciaires, et mettant ces frais à la charge du poursuivant, sans allocation de dépens, vu la lettre datée du 6 février 2013 et reçue par le greffe de la justice de paix le 8 février 2013, par laquelle le R.________ a indiqué: "Nous vous informons que nous interjetons recours et vous prions de nous faire suivre par courrier la motivation du rejet de la requête.", vu le prononcé motivé adressé aux parties le 9 avril 2013;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329 al. 1 let. b CPC), une motivation écrite peut être demandée par l'une ou l'autre des parties dans un délai de dix jours à compter de la communication de la décision (art. 329 al. 2 CPC), qu'un recours peut être déposé dans le même délai, cet acte valant alors demande de motivation (cf. Tappy, Code de procédure civile commenté, n. 19 ad art. 239 CPC), que l'art. 321 al. 1 CPC exige que le recours soit écrit et motivé, mais ne fait pas expressément des conclusions formelles une condition de recevabilité du recours, que la règle générale de l'art. 59 al. 2 let. a CPC exige toutefois que le recourant ait un intérêt digne de protection, qu'ainsi, au minimum, la motivation du recours doit permettre de comprendre ce que le recourant veut obtenir, faute de quoi l'intérêt au recours n'est pas démontré (CPF, 16 juillet 2012/238; Jeandin, Code de procédure civile commenté, n. 3 ad art. 311 CPC in fine), qu'en l'espèce, dans son recours du 6 février 2013, le poursuivant a simplement indiqué recourir contre la décision attaquée, sans préciser aucun moyen ou motif, que cet acte ne satisfait donc pas aux exigences de forme posées par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 – 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du R.________ est irrecevable, que le présent arrêt peut être rendu sans frais ni dépens. ,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6 juin 2013 L'arrêt qui précède, dont la rédaction a été approuvée à huis clos, prend date de ce jour. Il est notifié, par l'envoi de photocopies, à : ‑ R.________, ‑ W.________. La Cour des poursuites et faillites considère que la valeur litigieuse est de 4'400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