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156 vom 12. Juli 2013</w:t>
      </w:r>
    </w:p>
    <w:p>
      <w:r>
        <w:t>VD Tribunal cantonal, 2013-07-12, FR</w:t>
      </w:r>
    </w:p>
    <w:p>
      <w:r>
        <w:rPr>
          <w:b/>
        </w:rPr>
        <w:t xml:space="preserve">Quelle: </w:t>
      </w:r>
      <w:r>
        <w:t>https://mcp.opencaselaw.ch/entscheid/vd_findinfo_ML___2013___156</w:t>
      </w:r>
    </w:p>
    <w:p>
      <w:r>
        <w:t>FR: VD_FINDINFO ML / 2013 / 156 du 12 juillet 2013</w:t>
      </w:r>
    </w:p>
    <w:p>
      <w:r>
        <w:t>IT: VD_FINDINFO ML / 2013 / 156 del 12 luglio 2013</w:t>
      </w:r>
    </w:p>
    <w:p>
      <w:pPr>
        <w:pStyle w:val="Heading2"/>
      </w:pPr>
      <w:r>
        <w:t>Regeste</w:t>
      </w:r>
    </w:p>
    <w:p>
      <w:r>
        <w:t>CÉDULE HYPOTHÉCAIRE, CRÉANCE GARANTIE PAR GAGE, POURSUITE EN RÉALISATION DE GAGE, POURSUITE POUR DETTES, MAINLEVÉE DÉFINITIVE | 842 CC, 855 CC</w:t>
      </w:r>
    </w:p>
    <w:p>
      <w:pPr>
        <w:pStyle w:val="Heading2"/>
      </w:pPr>
      <w:r>
        <w:t>Erwägungen</w:t>
      </w:r>
    </w:p>
    <w:p>
      <w:r>
        <w:rPr>
          <w:b/>
        </w:rPr>
        <w:t>E. 30</w:t>
      </w:r>
    </w:p>
    <w:p>
      <w:r>
        <w:t>octobre 2003/379; Staehelin, Basler Kommentar, n. 22 ad art. 855 CC). En définitive, il suit de la distinction des deux créances, abstraite et causale, que l’une et l’autre peuvent faire l’objet d’une exécution forcée, la première venant doubler la seconde afin d’en faciliter et d’en garantir le recouvrement.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(ATF 119 III 105 ; 7B.175/2001; Denys, Cédule hypothécaire et mainlevée, JT 1998 II 3). c) En l’espèce, la B.________ a d’abord poursuivi le recourant par la voie d’une poursuite en réalisation de gage. Partant, la question du beneficium excussionis realis ne se pose pas et le recourant n’avait pas à agir par la voie de la plainte LP pour contester le commandement de payer dans la poursuite ordinaire qui lui a été notifié. La cédule hypothécaire a été cédée à la B.________ en pleine propriété à titre fiduciaire aux fins de garantie du prêt accordé au poursuivi. Comme indiqué plus haut, une telle cession implique la renonciation des parties à la novation ainsi que la juxtaposition de la créance incorporée et de la créance garantie. On est ainsi en présence de deux créances distinctes, l’une abstraite l’autre causale, qui peuvent l’une et l’autre faire l’objet d’une exécution forcée. C’est partant à tort que le recourant soutient l’existence de mêmes créances faisant l’objet simultanément de deux poursuites distinctes. La poursuivante est en définitive légitimée à procéder contre le recourant par le biais de poursuites en réalisation de gage pour la créance abstraite et d’une poursuite ordinaire pour la créance causale. Pour le surplus, le recourant ne conteste – à juste titre – pas le prononcé de mainlevée définitive en tant que tel, savoir qu’il serait au bénéfice d’un moyen libératoire et/ou que l’intimée ne bénéficierait pas d’un titre justifiant un tel prononcé. L’arrêt du Tribunal fédéral du 15 décembre 2010 constitue précisément un tel titre. Enfin, le fait que le recourant serait insolvable et que la poursuite en cause devrait conduire à la délivrance d’un acte de défaut de biens n’est pas déterminant. III. Le recours doit ainsi être rejeté et le prononcé entrepris confirmé. Les frais judiciaires de deuxième instance, arrêtés à 1'200 fr., sont laissés à la charge de l'Etat. Le conseil d'office du recourant a produit le 18 mars 2013 une liste détaillée de ses opérations annonçant 7 heures 30 de travail effectué et 68 fr. de débours. Ce décompte peut être admis, de sorte qu'il y a lieu d'arrêter son indemnité d'office à 1’531 fr. 45, correspondant à 7 heures 30 de travail à un tarif horaire de 180 fr., plus 68 fr. de débours et 113 fr. 45 de TVA. Les bénéficiaires de l'assistance judiciaire sont, dans la mesure de l'art. 123 CPC, tenus au remboursement des frais judiciaires et de l'indemnité à leur conseil d'office mis à la charge de l'Etat. Conformément à l’art. 123 al. 1 CPC, une partie est tenue de rembourser l’assistance judiciaire dès qu’elle est en mesure de le faire. Dans cette mesure, le recourant est tenu au remboursement des frais judiciaires et de l’indemnité de son conseil d'office mis à la charge de l’Etat. Enfin, il n’y a pas lieu d’allouer de dépens, l’intimée n’ayant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