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151 vom 3. Juli 2013</w:t>
      </w:r>
    </w:p>
    <w:p>
      <w:r>
        <w:t>VD Tribunal cantonal, 2013-07-03, FR</w:t>
      </w:r>
    </w:p>
    <w:p>
      <w:r>
        <w:rPr>
          <w:b/>
        </w:rPr>
        <w:t xml:space="preserve">Quelle: </w:t>
      </w:r>
      <w:r>
        <w:t>https://mcp.opencaselaw.ch/entscheid/vd_findinfo_ML___2013___151</w:t>
      </w:r>
    </w:p>
    <w:p>
      <w:r>
        <w:t>FR: VD_FINDINFO ML / 2013 / 151 du 3 juillet 2013</w:t>
      </w:r>
    </w:p>
    <w:p>
      <w:r>
        <w:t>IT: VD_FINDINFO ML / 2013 / 151 del 3 luglio 2013</w:t>
      </w:r>
    </w:p>
    <w:p>
      <w:pPr>
        <w:pStyle w:val="Heading2"/>
      </w:pPr>
      <w:r>
        <w:t>Regeste</w:t>
      </w:r>
    </w:p>
    <w:p>
      <w:r>
        <w:t>RECONNAISSANCE DE DETTE, CAPACITÉ DE DISCERNEMENT, TUTELLE, AUTORISATION OU APPROBATION{EN GÉNÉRAL}, ABUS DE DROIT | 16 CC, 19 al. 1 CC, 19 al. 2 CC, 2 CC, 82 LP</w:t>
      </w:r>
    </w:p>
    <w:p>
      <w:pPr>
        <w:pStyle w:val="Heading2"/>
      </w:pPr>
      <w:r>
        <w:t>Erwägungen</w:t>
      </w:r>
    </w:p>
    <w:p>
      <w:r>
        <w:rPr>
          <w:b/>
        </w:rPr>
        <w:t>E. 16</w:t>
      </w:r>
    </w:p>
    <w:p>
      <w:r>
        <w:t>aCC (Code civil suisse du 10 décembre 1907, RS 210, en vigueur jusqu’au 31 décembre 2012, donc au moment de la signature de l’acte litigieux), dont la maladie mentale et la faiblesse d'esprit,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(ATF 117 II 231, c. 2a et les réf. cit.). Au sens de cette disposition, la notion juridique de maladie mentale ne vise que les cas où les troubles psychiques ont des conséquences si prononcées que la faculté d’agir raisonnablement est en affectée (Deschenaux/Steinauer, Personnes physiques et tutelle, 4e éd., 2001, n. 84, 87 et 88, pp. 26-28). La maladie mentale à dire d'expert n'exclut ainsi pas nécessairement tout discernement, car la notion médicale est plus large que le concept juridique (ATF 117 II 231, c. 2b précité). La capacité de discernement est relative. Elle ne doit pas être appréciée dans l'abstrait mais concrètement, par rapport à un acte déterminé, en fonction de sa nature et de son importance, les facultés requises devant exister au moment de l'acte. Elle est en outre présumée, de sorte qu'il incombe à celui qui prétend que la capacité de discernement fait défaut de l’établir (ATF 124 III 5 c. 1, JT 1998 I 361, c. lb et 117 II 231 c. 2 précité). En l’espèce, il ressort du rapport médical du 22 septembre 2006 produit par la recourante que celle-ci souffrait de dépression ou de « burn-out » et d’alcoolisme. Un trouble de la personnalité émotionnellement instable de type « borderline » était par ailleurs soupçonné. Le rapport ne parle toutefois d’aucune maladie mentale ni de faiblesse d’esprit ni ne fournit d’élément permettant de con-clure à une absence de discernement de l’intéressée. Il serait par ailleurs hasardeux d’affirmer, sur la base d’un rapport datant du 22 septembre 2006, que la recourante n’avait pas la faculté d’agir raisonnablement, un mois plus tard, le 24 octobre 2006, dans un cas particulier, à savoir la signature de l’acte invoqué. Ce premier moyen est donc mal fondé. bb) La recourante soutient également que l’acte du 24 octobre 2006 aurait dû être ratifié par la tutrice de D.________, dès lors qu’on ne peut pas exclure que le prénommé se soit engagé contre son propre intérêt, notamment dans l’hypothèse où les mensualités convenues étaient insuffisantes. Il ressort du registre des tutelles qu’une mesure de tutelle volontaire a été instituée en faveur de D.________ le 16 août 2006 et levée le 27 juillet 2009. Puis, dès cette date et jusqu’au 5 juillet 2011, cette mesure a été remplacée par une curatelle de conseil légal coopérant et gérant. L’intimé était donc bien sous tutelle lors de la signature de l’acte du 24 octobre 2006. Selon l'art. 19 al. 1 aCC, les interdits capables de discernement ne peuvent s'obliger par leurs propres actes qu'avec le consentement de leur représen-tant légal. L'acte visé est celui qui consiste à contracter une obligation ou renoncer à un droit (art. 410 aCC). En revanche, un tel consentement n’est pas nécessaire pour acquérir à titre gratuit (art. 19 al. 2 aCC), ce qui comprend notamment l’acte de recevoir des déclarations de volonté qui ne lient que leur auteur (Deschenaux/ Steinauer, Personnes physiques et tutelle, 4 ème éd., p. 66). Il en découle, en l’espèce, que le consentement de la tutrice de D.________ n’était pas nécessaire à la validité de l’engament d’Z.________ sauf dans la mesure où le prénommé aurait renoncé à exiger davantage que des acomptes de 100 fr. par mois, ce qui n’apparaît pas être le cas. On doit en outre admettre que le poursuivant a confirmé son accord avec l’acte invoqué après la levée de la tutelle (intervenue le 27 juillet 2009) par l’introduction de la poursuite n° 5'613'647 en décembre 2010 et de la présente poursuite au mois d’août 2012. Enfin, l’argument de la recourante consistant à dire que l’accord passé n’est pas valable, faute de ratification, pour le motif qu’il pourrait ne pas être assez favorable à l’intimé et en déduire que celui-ci ne peut prétendre à rien relève de l’abus de droit au sens de l’art. 2 CC. Ce deuxième moyen est donc également mal fondé. cc) Dans ces conditions, c’est à juste titre que le premier juge a prononcé la mainlevée provisoire de l’opposition à concurrence de 2'000 fr., correspondant aux mensualités des mois de janvier 2011 à août 2012, soit vingt fois 100 fr., la mensualité du mois de décembre 2010 ayant déjà été prise en compte dans le prononcé de mainlevée du 17 août 2011, avec intérêt à 5% l’an dès le 16 octobre 2011, échéance moyenne. III. Le recours doit donc être rejeté et le prononcé entrepris confirmé. Les frais de deuxième instance, par 270 fr., sont mis à la charge de la recourante. Celle-ci versera à l’intimé un montant de 200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