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138 vom 6. Mai 2013</w:t>
      </w:r>
    </w:p>
    <w:p>
      <w:r>
        <w:t>VD Tribunal cantonal, 2013-05-06, FR</w:t>
      </w:r>
    </w:p>
    <w:p>
      <w:r>
        <w:rPr>
          <w:b/>
        </w:rPr>
        <w:t xml:space="preserve">Quelle: </w:t>
      </w:r>
      <w:r>
        <w:t>https://mcp.opencaselaw.ch/entscheid/vd_findinfo_ML___2013___138</w:t>
      </w:r>
    </w:p>
    <w:p>
      <w:r>
        <w:t>FR: VD_FINDINFO ML / 2013 / 138 du 6 mai 2013</w:t>
      </w:r>
    </w:p>
    <w:p>
      <w:r>
        <w:t>IT: VD_FINDINFO ML / 2013 / 138 del 6 maggio 2013</w:t>
      </w:r>
    </w:p>
    <w:p>
      <w:pPr>
        <w:pStyle w:val="Heading2"/>
      </w:pPr>
      <w:r>
        <w:t>Regeste</w:t>
      </w:r>
    </w:p>
    <w:p>
      <w:r>
        <w:t>MOTIVATION DE LA DEMANDE, OBLIGATION DE CHIFFRER LES CONCLUSIONS, PROLONGATION DU DÉLAI, DÉLAI LÉGAL | 321 al. 1 CPC (CH), 321 al. 2 CPC (CH)</w:t>
      </w:r>
    </w:p>
    <w:p>
      <w:pPr>
        <w:pStyle w:val="Heading2"/>
      </w:pPr>
      <w:r>
        <w:t>Volltext</w:t>
      </w:r>
    </w:p>
    <w:p>
      <w:r>
        <w:t>Vaud Tribunal cantonal Cour des poursuites et faillites 06.05.2013 ML / 2013 / 138</w:t>
      </w:r>
    </w:p>
    <w:p>
      <w:r>
        <w:t>MOTIVATION DE LA DEMANDE, OBLIGATION DE CHIFFRER LES CONCLUSIONS, PROLONGATION DU DÉLAI, DÉLAI LÉGAL | 321 al. 1 CPC (CH), 321 al. 2 CPC (CH)</w:t>
      </w:r>
    </w:p>
    <w:p>
      <w:r>
        <w:t>TRIBUNAL CANTONAL KC12.051293-130667 187 Cour des poursuites et faillites ________________________________________________ Arrêt du 6 mai 2013 __________________ Présidence de               M. Sauterel , président Juges :              Mme Carlsson et M. Hack Greffier : Mme              Joye ***** Art. 321 al. 1 et 2 CPC Vu le prononcé de mainlevée rendu le 4 février 2013 par le Juge de paix du district de Lausanne, statuant à la suite de l'interpellation de la partie poursuivie, dans la poursuite n° 6'377'297 de l'Office des poursuites du district de Lausanne exercée contre E.________ , à Lausanne, à l'instance de la CONFEDERATION SUISSE , représentée par Office d'impôt du district de Nyon, vu les motifs du prononcé, adressés pour notification aux parties le 21 mars 2013, distribués au poursuivi le 28 mars 2013, vu l'écriture datée du 2 avril 2013 par laquelle E.________ déclare faire recours et sollicite une prolongation au 30 avril 2013 du délai "pour déposer recours" expliquant que "les fêtes de Pâques, ainsi que les jours fériés y relatifs ne me permettent pas le temps nécessaire à formuler mes recours" , vu le courrier du 4 avril 2013 par lequel le président de céans a informé E.________ que le délai de recours n'était pas prolongeable ; attendu que le recours contre un prononcé de mainlevée s'exerce par acte écrit et motivé, introduit auprès de l'instance de recours dans le délai de dix jours suivant la notification de la décision motivée (art. 321 al. 1 et 2 CPC, Code de procédure civile, RS 272), qu'en l'espèce, le dernier jour du délai dont disposait E.________ pour recourir contre le prononcé de mainlevée qui lui avait été notifié le 28 mars 2013 arrivait à échéance le 18 avril 2013, compte tenu des féries de Pâques (art. 56 ch. 2 LP), que le recours du 2 avril 2013 a ainsi été déposé à temps, que cet acte n'est toutefois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en effet un délai légal et, comme tel, n'est pas prolongeable (art. 144 al. 1 CPC), que les conditions d'une restitution de délai au sens de l'art. 148 CPC, laquelle n'est d'ailleurs pas requise dans l'écriture du 2 avril 2013, ne sont par ailleurs pas réunies, qu'en effet, le motif invoqué, à savoir l'indisponibilité du recourant durant les fêtes de Pâques, ne constitue en aucun cas un empêchement au sens de cette disposition, que E.________ n'ayant pas motivé son acte de recours dans le délai légal, cet acte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mai 2013 L'arrêt qui précède, dont la rédaction a été approuvée à huis clos, prend date de ce jour. Il est notifié, par l'envoi de photocopies, à : ‑ M. E.________, ‑ Confédération suisse, Office d'impôt du district de Nyon. La Cour des poursuites et faillites considère que la valeur litigieuse est de 1'659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