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122 vom 13. Mai 2013</w:t>
      </w:r>
    </w:p>
    <w:p>
      <w:r>
        <w:t>VD Tribunal cantonal, 2013-05-13, FR</w:t>
      </w:r>
    </w:p>
    <w:p>
      <w:r>
        <w:rPr>
          <w:b/>
        </w:rPr>
        <w:t xml:space="preserve">Quelle: </w:t>
      </w:r>
      <w:r>
        <w:t>https://mcp.opencaselaw.ch/entscheid/vd_findinfo_ML___2013___122</w:t>
      </w:r>
    </w:p>
    <w:p>
      <w:r>
        <w:t>FR: VD_FINDINFO ML / 2013 / 122 du 13 mai 2013</w:t>
      </w:r>
    </w:p>
    <w:p>
      <w:r>
        <w:t>IT: VD_FINDINFO ML / 2013 / 122 del 13 maggio 2013</w:t>
      </w:r>
    </w:p>
    <w:p>
      <w:pPr>
        <w:pStyle w:val="Heading2"/>
      </w:pPr>
      <w:r>
        <w:t>Regeste</w:t>
      </w:r>
    </w:p>
    <w:p>
      <w:r>
        <w:t>MAINLEVÉE PROVISOIRE, TITRE DE MAINLEVÉE, DÉFAUT DE LA CHOSE, BAIL À LOYER, LOCAL PROFESSIONNEL, PREUVE, DROIT D'ÊTRE ENTENDU, MOTIVATION DE LA DÉCISION | 257g CO, 258 CO, 29 al. 2 Cst., 82 LP, 53 al. 1 CPC (CH)</w:t>
      </w:r>
    </w:p>
    <w:p>
      <w:pPr>
        <w:pStyle w:val="Heading2"/>
      </w:pPr>
      <w:r>
        <w:t>Erwägungen</w:t>
      </w:r>
    </w:p>
    <w:p>
      <w:r>
        <w:rPr>
          <w:b/>
        </w:rPr>
        <w:t>E. 17</w:t>
      </w:r>
    </w:p>
    <w:p>
      <w:r>
        <w:t>juin 2005 sur le Tribunal fédéral, RS 173.110), ne permet que de corriger une erreur évidente, la notion se recoupant en définitive avec l'appréciation arbitraire des preuves (art. 9 Cst)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du 11 avril 1889 sur la poursuite pour dettes et la faillite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(Panchaud/Caprez, op. cit., § 69; Gilliéron, op. cit., n. 44 et 45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peut en outre consigner le loyer, aux conditions des art. 259g à 259i CO. Le locataire doit signaler au bailleur les défauts auxquels il n’est pas tenu de remédier lui-même (art. 257g CO). Pour faire échec à la mainlevée, il suffit au locataire de rendre vraisemblable que l’usage de la chose remise est affectée de défauts au point qu’il est fondé à résilier le contrat ou à faire réduire le loyer ou à réclamer des dommages-intérêts (Panchaud/Caprez, op. cit., § 76). c) En l’espèce, la poursuite porte sur le paiement de la participation forfaitaire du locataire aux frais d’exécution de la chape, prévue par les conditions particulières du contrat. Il résulte du dossier, notamment de la lettre du conseil de l’intimée du 18 janvier 2012, que cette dernière a pris possession des locaux loués dans le courant du mois d’octobre 2011, de sorte qu’il y a lieu d’admettre qu’elle a accepté la chose malgré ses défauts éventuels. Elle ne peut donc, le cas échéant, faire valoir que les prétentions résultant des art. 259a à 259i CO. Le premier juge a retenu, en se fondant sur le rapport de l’ingénieur [...], que la capacité de résistance au sol de la halle serait nettement inférieure à celle stipulée dans le contrat et que les plans réalisés par l’ingénieur [...] n’auraient pas été fidèlement exécutés. Les conditions locatives particulières du bail imposaient au bailleur un radier "supportant une charge au sol de 3000 kg/m2". Dans son rapport du 5 décembre 2011, l'ingénieur [...] indique plusieurs raisons pour lesquelles le dallage déposé peut supporter des surcharges "très nettement supérieures aux 4'000 kg/m2 demandés". Le rapport du 28 novembre 2011 d' [...] relève des différences entre le plan et la réalisation du dallage, probablement moins chère, tout en relevant qu'une fois exécuté, ce dallage pourra tout de même répondre aux charges données, pour autant que le terrain sous-jacent soit de bonne qualité. Il ne fournit cependant aucun élément donnant à penser que le terrain serait de mauvaise qualité. Dans son rapport complémentaire du 27 décembre 2011 confirmant son précédent rapport, [...] a précisé que la chape n'apportait aucune amélioration à la capacité portante de l'ouvrage. Il ne résulte ainsi pas des rapports de l’ingénieur [...] que l’ouvrage présenterait des défauts, au contraire, les trois rapports produits établissent que l’ouvrage présente la capacité portante promise dans le contrat de bail. d) Dans une lettre du 28 février 2012 au conseil du recourant, le conseil de l’intimée l’a encore avisé de ce que la chape présenterait une fissure sur toute la longueur de la halle louée, invoquant un avis des défauts au sens de l’art. 257g CO. Cette seule annonce ne suffit pas à tenir l’existence du défaut pour vraisemblable. Pour être vraisemblable, une circonstance doit apparaître au moins aussi vraisemblable que l’inverse, ce qui n’est pas le cas en l’espèce, puisque l’affirmation du conseil de la poursuivie n’est étayée par aucun élément du dossier. Cela étant, il y a lieu d’admettre que le bail produit vaut reconnaissance de dette pour le montant de 30'000 francs. En revanche, le contrat ne stipule pas que le montant de 30'000 fr. serait un montant hors taxe et que la TVA serait due en plus. La mainlevée doit donc être refusée pour le montant de 2'400 francs. Quant aux intérêts moratoires, ils ne sont pas dus dès l’entrée en vigueur du bail, puisque selon les conditions particulières du bail, puisque le surcoût de 30'000 fr. engendré par l'exécution de la chape devait être facturé au locataire par le propriétaire. La première mise en demeure résulte de la lettre du conseil du recourant du 11 janvier 2012 avec un délai à la fin du mois de janvier. L’intérêt de retard au taux de 5% peut donc être alloué à dater du 1 er février 2012. IV. Le recours doit donc être partiellement admis et le prononcé réformé en ce sens que la mainlevée provisoire de l'opposition est prononcée à concurrence de 30'000 fr. avec intérêt à 5 % l'an dès le 1 er février 2012. Les frais de première instance, arrêtés à 360 fr., sont mis à concurrence de 90 % (324 fr.) à la charge de la poursuivie et de 10 % (36 fr.) à la charge du poursuivant (art. 106 al. 2 CPC). Le poursuivant a droit à des dépens de première instance, arrêtés à 1'500 fr. (art. 3 et 6 TDC [Tarif des dépens en matière civile du 23 novembre 2010; RSV 279.11.6]), qu'il convient de réduire dans la même proportion. Les frais de deuxième instance, arrêtés à 570 fr., sont mis à concurrence de 90 % (513 fr.) à la charge de l'intimée et de 10 % (57 fr.) à la charge du recourant (art. 106 al. 2 CPC). Le recourant a droit à des dépens de deuxième instance, arrêtés à 1'500 fr. (art. 3 et 8 TDC), qu'il convient de réduire dans la même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