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 vom 13. Februar 2013</w:t>
      </w:r>
    </w:p>
    <w:p>
      <w:r>
        <w:t>VD Tribunal cantonal, 2013-02-13, FR</w:t>
      </w:r>
    </w:p>
    <w:p>
      <w:r>
        <w:rPr>
          <w:b/>
        </w:rPr>
        <w:t xml:space="preserve">Quelle: </w:t>
      </w:r>
      <w:r>
        <w:t>https://mcp.opencaselaw.ch/entscheid/vd_findinfo_ML___2013___12</w:t>
      </w:r>
    </w:p>
    <w:p>
      <w:r>
        <w:t>FR: VD_FINDINFO ML / 2013 / 12 du 13 février 2013</w:t>
      </w:r>
    </w:p>
    <w:p>
      <w:r>
        <w:t>IT: VD_FINDINFO ML / 2013 / 12 del 13 febbraio 2013</w:t>
      </w:r>
    </w:p>
    <w:p>
      <w:pPr>
        <w:pStyle w:val="Heading2"/>
      </w:pPr>
      <w:r>
        <w:t>Regeste</w:t>
      </w:r>
    </w:p>
    <w:p>
      <w:r>
        <w:t>PROLONGATION DU DÉLAI, DROIT D'ÊTRE ENTENDU | 144 al. 2 CPC (CH)</w:t>
      </w:r>
    </w:p>
    <w:p>
      <w:pPr>
        <w:pStyle w:val="Heading2"/>
      </w:pPr>
      <w:r>
        <w:t>Erwägungen</w:t>
      </w:r>
    </w:p>
    <w:p>
      <w:r>
        <w:rPr>
          <w:b/>
        </w:rPr>
        <w:t>E. 2</w:t>
      </w:r>
    </w:p>
    <w:p>
      <w:r>
        <w:t>Cst ( Constitution fédérale de la Confédération suisse du 18 avril 1999, RS 101) et</w:t>
      </w:r>
    </w:p>
    <w:p>
      <w:r>
        <w:rPr>
          <w:b/>
        </w:rPr>
        <w:t>E. 6</w:t>
      </w:r>
    </w:p>
    <w:p>
      <w:r>
        <w:t>§ 1 CEDH (Convention du 4 novembre 1950 de sauvegarde des droits de l’homme et des libertés fondamentales , RS 0.101) (Bohnet, CPC commenté, n. 2 ad art. 253 CPC; Haldy, CPC commenté, nn. 1 à 5 ad art. 53 CPC; Chevallier, ZPO Kommentar, n. 1 ad art. 253 CPC), qu'en l'espèce, un délai au 16 avril 2012 pour se déterminer a été accordé à la poursuivie le 1 er mars 2012, en application de l'art. 253 CPC susmentionné,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Code de procédure civile commenté, n. 8 ad art. 144 CPC), que compte tenu de cette marge d'appréciation, une autorité de recours ne devrait que rarement s'écarter de la décision prise à cet égard (Tappy, op. cit., n. 11 ad art. 144 CPC), qu'en l’espèce, la recourante ne rend pas vraisemblable l'existence du motif invoqué, soit la complexité de la cause, s'agissant d'une requête de mainlevée fondée sur un jugement définitif qui statue sur des dépens, que de plus, le motif invoqué ne peut pas être considéré comme suffisant dans la mesure où la recourante n'indique pas en quoi cette prétendue complexité l'aurait empêchée de procéder, ce qu'elle a d'ailleurs fait, dans le délai initial, qui était d'un mois et demi,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faute de motivation ou de conclusion, même implicite, tendant à la réforme, il n'est pas nécessaire d'examiner le bien-fondé du prononcé de mainlevée (CPF, 14 février 2012/127), qui doit dès lors être confirmé, qu'au vu des éléments qui précèdent, le recours, manifestement infondé, doit être rejeté et le prononcé attaqué confirmé ; considérant que l'assistance judiciaire sous la forme d'une exonération des avances et des frais judiciaires ayant été accordée à la recourante, les frais judiciaires de deuxième instance doivent être laissés à la charge de l'Etat, sous réserve de leur remboursement ultérieur, conformément à l'art. 123 CPC, qu'il n'y a pas matière à allocation de dépens de deuxième instance, l'intimée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