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112 vom 28. Februar 2013</w:t>
      </w:r>
    </w:p>
    <w:p>
      <w:r>
        <w:t>VD Tribunal cantonal, 2013-02-28, FR</w:t>
      </w:r>
    </w:p>
    <w:p>
      <w:r>
        <w:rPr>
          <w:b/>
        </w:rPr>
        <w:t xml:space="preserve">Quelle: </w:t>
      </w:r>
      <w:r>
        <w:t>https://mcp.opencaselaw.ch/entscheid/vd_findinfo_ML___2013___112</w:t>
      </w:r>
    </w:p>
    <w:p>
      <w:r>
        <w:t>FR: VD_FINDINFO ML / 2013 / 112 du 28 février 2013</w:t>
      </w:r>
    </w:p>
    <w:p>
      <w:r>
        <w:t>IT: VD_FINDINFO ML / 2013 / 112 del 28 febbraio 2013</w:t>
      </w:r>
    </w:p>
    <w:p>
      <w:pPr>
        <w:pStyle w:val="Heading2"/>
      </w:pPr>
      <w:r>
        <w:t>Regeste</w:t>
      </w:r>
    </w:p>
    <w:p>
      <w:r>
        <w:t>MAINLEVÉE PROVISOIRE | 82 al. 1 LP, 82 al. 2 LP</w:t>
      </w:r>
    </w:p>
    <w:p>
      <w:pPr>
        <w:pStyle w:val="Heading2"/>
      </w:pPr>
      <w:r>
        <w:t>Erwägungen</w:t>
      </w:r>
    </w:p>
    <w:p>
      <w:r>
        <w:rPr>
          <w:b/>
        </w:rPr>
        <w:t>E. 10</w:t>
      </w:r>
    </w:p>
    <w:p>
      <w:r>
        <w:t>jours (art. 321 al. 2 CPC). La réponse déposée par l'intimé le 4 décembre 2012 est dès lors tardive et, partant, irrecevable. La pièce nouvelle produite en deuxième instance par la recourante n'est pas recevable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 ème éd., n. 90 ad art. 84 LP).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il ne fait pas de doute que l'engagement pur et simple souscrit le 23 décembre 2009 par l'intimé à l'égard de la recourante constitue une reconnaissance de dette au sens de l'art. 82 al. 1 LP. A juste titre, le premier juge a retenu que la créance était exigible puisque la reconnaissance de dette prévoit que la dette sera intégralement payée au plus tard le 30 juin 2011. b) L'intimé entend se libérer à hauteur de 18'300 fr. en invoquant divers paiements. Le poursuivi peut se libérer en rendant vraisemblable tout moyen libératoire par la production, en première instance, de toute pièce utile (art. 82 al. 2 LP). Il suffit que sur la base d'éléments objectifs, le juge de la mainlevée acquière l'impression d'une certaine vraisemblance de l'existence des faits pertinents, sans pour autant qu'il doive exclure la possibilité qu'il puisse en être autrement. Le juge de la mainlevée statue selon l'apparence du droit, vérifie le meilleur droit apparent, compte tenu de ce que les parties ne peuvent administrer que les moyens de preuve immédiatement disponibles. En l'espèce, le premier juge n'a pas retenu le montant de 5'000 fr., sous la mention "carreleur", l'intimé n'ayant rien rendu vraisemblable à ce sujet. Sa décision ne peut qu'être confirmée sur ce point. Quant aux autres montants invoqués, le paiement de 250 fr. indiqué à la date du 30 mai 2011 n'est pas rendu vraisemblable dès lors que la pièce produite mentionne que l'ordre de paiement n'a pas été exécuté. En ce qui concerne les quatre paiements de 1'500 fr. chacun prétendument effectués les 22 janvier 2010, 4 et 9 mars 2010 et 27 août 2010, ils ne sont pas non plus rendus vraisemblables dans la mesure où le relevé bancaire produit par l'intimé n'indique pas à qui ces montants ont été payés. En outre, le premier de ces paiements est même antérieur à la reconnaissance de dette. Ainsi, sur la base des pièces produites par l'intimé, ce sont en principe des paiements à hauteur de 8'550 fr. qui peuvent être retenus. La recourante admet toutefois certains autres paiements. Même si la pièce qu'elle a produite est irrecevable selon les règles de la procédure de recours, il n'en demeure pas moins que l'on peut retenir qu'elle a reçu des remboursements à concurrence de 10'950 fr. puisqu'elle l'admet elle-même dans sa requête de motivation. Cela étant, la mainlevée peut être prononcée à concurrence de 14'050 fr. (25'000 fr. - 10'950 fr.). Quant aux frais de la poursuite, ils suivront le sort de celle-ci, mais ne peuvent donner lieu à mainlevée. III. En définitive, le recours doit être admis, l'opposition étant provisoirement levée à hauteur de 14'050 fr. sans intérêt. Le prononcé de première instance est confirmé pour le surplus. Les frais judiciaires de deuxième instance, arrêtés à 315 fr., sont mis à la charge de l'intimé. Le montant de 195 fr., correspondant à l'avance de frais qui excède le montant des frais judiciaires, est restitué à la recourante. L'intimé doit payer à la recourante le montant de 315 fr. à titre de remboursement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