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105 vom 4. April 2013</w:t>
      </w:r>
    </w:p>
    <w:p>
      <w:r>
        <w:t>VD Tribunal cantonal, 2013-04-04, FR</w:t>
      </w:r>
    </w:p>
    <w:p>
      <w:r>
        <w:rPr>
          <w:b/>
        </w:rPr>
        <w:t xml:space="preserve">Quelle: </w:t>
      </w:r>
      <w:r>
        <w:t>https://mcp.opencaselaw.ch/entscheid/vd_findinfo_ML___2013___105</w:t>
      </w:r>
    </w:p>
    <w:p>
      <w:r>
        <w:t>FR: VD_FINDINFO ML / 2013 / 105 du 4 avril 2013</w:t>
      </w:r>
    </w:p>
    <w:p>
      <w:r>
        <w:t>IT: VD_FINDINFO ML / 2013 / 105 del 4 aprile 2013</w:t>
      </w:r>
    </w:p>
    <w:p>
      <w:pPr>
        <w:pStyle w:val="Heading2"/>
      </w:pPr>
      <w:r>
        <w:t>Regeste</w:t>
      </w:r>
    </w:p>
    <w:p>
      <w:r>
        <w:t>INTÉRÊT DIGNE DE PROTECTION, MOTIF DU RECOURS, OBSERVATION DU DÉLAI, ACTE DE RECOURS | 321 al. 2 CPC, 59 al. 1 CPC, 59 al. 2 CPC</w:t>
      </w:r>
    </w:p>
    <w:p>
      <w:pPr>
        <w:pStyle w:val="Heading2"/>
      </w:pPr>
      <w:r>
        <w:t>Volltext</w:t>
      </w:r>
    </w:p>
    <w:p>
      <w:r>
        <w:t>Vaud Tribunal cantonal Cour des poursuites et faillites 04.04.2013 ML / 2013 / 105</w:t>
      </w:r>
    </w:p>
    <w:p>
      <w:r>
        <w:t>INTÉRÊT DIGNE DE PROTECTION, MOTIF DU RECOURS, OBSERVATION DU DÉLAI, ACTE DE RECOURS | 321 al. 2 CPC, 59 al. 1 CPC, 59 al. 2 CPC</w:t>
      </w:r>
    </w:p>
    <w:p>
      <w:r>
        <w:t>TRIBUNAL CANTONAL KC12.038536-130399 149 Cour des poursuites et faillites ________________________________________________ Arrêt du 4 avril 2013 __________________ Présidence de               M. Sauterel , président Juges :              M. Hack et Mme Byrde Greffier : Mme              Joye ***** Art. 59 al. 1 et 2 let a et 321 al. 2 CPC Vu le prononcé rendu le 16 janvier 2013 par le Juge de paix du district de Nyon, statuant à la suite de l'interpellation de la partie poursuivie, rejetant la requête de mainlevée déposée par G.________ , à Bursins, dans le cadre de la poursuite n° 6'323'749 de l'Office des poursuites du district de Nyon qu'il a exercée contre J.________ SA , à Gland, vu les motifs du prononcé adressés pour notification aux parties le 8 février 2013, distribués à la poursuivie le 11 février 2013, vu l'écriture datée du 21 février 2012, mise à la poste le 22 février 2013, par laquelle [...], administrateur (avec signature individuelle) de J.________ SA, déclare faire recours et demande l'octroi d'un délai au 29 mars 2012 pour "déposer un mémoire en bonne et due forme, soit par écrit et motivé", invoquant la complexité du dossier ainsi qu'une absence à l'étranger du 8 au 25 mars 2013 ; attendu que le recours contre un prononcé de mainlevée s'exerce par acte écrit et motivé, introduit auprès de l'instance de recours dans le délai de dix jours suivant la notification de la décision motivée (art. 321 al. 1 et 2 CPC, Code de procédure civile, RS 272), qu'en l'espèce, le dernier jour du délai dont disposait J.________ SA pour recourir contre le prononcé de mainlevée qui lui avait été notifié le 11 février 2013 était le 21 février 2013, que le recours déposé le 22 février 2013 l'a ainsi été tardivement, que par ailleurs, la décision rendue étant entièrement favorable à la poursuivie, celle-ci n'a aucun intérêt à recourir (art. 59 al. 2 let. a CPC), que l'existence d'un intérêt à recourir est requis pour l'exercice de toute voie de droit (ATF 130 III 102 c. 1.3, rés. in JT 2004 I 234; ATF 127 III 429 c. 1b, rés. in JT 2001 I 371; ATF 126 III 198 c. 2b; ATF 120 II 5 c. 2a, JT 1997 I 59), que l'absence d'un tel intérêt, qui doit être constatée d'office (art. 60 CPC), entraîne l'irrecevabilité du recours, (Freiburghaus/Afheldt, ZPO Kommentar, nn. 10 et 11 ad art. 321 CPC; Corboz, Commentaire de la LTF [loi sur le Tribunal fédéral; RS 173.110], n. 14 ad art. 76 LTF et les réf. citées), que dans ces conditions, le recours doit être déclarée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2013 L'arrêt qui précède, dont la rédaction a été approuvée à huis clos, prend date de ce jour. Il est notifié, par l'envoi de photocopies, à : ‑ J.________ SA, ‑ Me Mireille Loroch, avocate (pour G.________). La Cour des poursuites et faillites considère que la valeur litigieuse est de 41'776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