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103 vom 3. April 2013</w:t>
      </w:r>
    </w:p>
    <w:p>
      <w:r>
        <w:t>VD Tribunal cantonal, 2013-04-03, FR</w:t>
      </w:r>
    </w:p>
    <w:p>
      <w:r>
        <w:rPr>
          <w:b/>
        </w:rPr>
        <w:t xml:space="preserve">Quelle: </w:t>
      </w:r>
      <w:r>
        <w:t>https://mcp.opencaselaw.ch/entscheid/vd_findinfo_ML___2013___103</w:t>
      </w:r>
    </w:p>
    <w:p>
      <w:r>
        <w:t>FR: VD_FINDINFO ML / 2013 / 103 du 3 avril 2013</w:t>
      </w:r>
    </w:p>
    <w:p>
      <w:r>
        <w:t>IT: VD_FINDINFO ML / 2013 / 103 del 3 aprile 2013</w:t>
      </w:r>
    </w:p>
    <w:p>
      <w:pPr>
        <w:pStyle w:val="Heading2"/>
      </w:pPr>
      <w:r>
        <w:t>Regeste</w:t>
      </w:r>
    </w:p>
    <w:p>
      <w:r>
        <w:t>OBLIGATION DE CHIFFRER LES CONCLUSIONS, ACTE DE RECOURS | 321 CPC</w:t>
      </w:r>
    </w:p>
    <w:p>
      <w:pPr>
        <w:pStyle w:val="Heading2"/>
      </w:pPr>
      <w:r>
        <w:t>Volltext</w:t>
      </w:r>
    </w:p>
    <w:p>
      <w:r>
        <w:t>Vaud Tribunal cantonal Cour des poursuites et faillites 03.04.2013 ML / 2013 / 103</w:t>
      </w:r>
    </w:p>
    <w:p>
      <w:r>
        <w:t>OBLIGATION DE CHIFFRER LES CONCLUSIONS, ACTE DE RECOURS | 321 CPC</w:t>
      </w:r>
    </w:p>
    <w:p>
      <w:r>
        <w:t>TRIBUNAL CANTONAL KC12.033123-130394 145 Cour des poursuites et faillites ________________________________________________ Arrêt du 3 avril 2013 __________________ Présidence de               M. Sauterel , président Juges :              Mme Carlsson et M. Hack Greffier : Mme              Joye ***** Art. 321 al. 1 CPC Vu le prononcé rendu le 30 novembre 2012 par le Juge de paix du district de La Riviera – Pays-d'Enhaut, statuant à la suite de l'interpellation de la partie poursuivie, prononçant la mainlevée définitive de l'opposition formée par Y.________ , à Clarens, à la poursuite n° 6'306'136 de l'Office des poursuites du district de La Riviera – Pays-d'Enhaut exercée contre lui à l'instance de l' ETAT DE VAUD , Bureau de recouvrement et d'avances de pensions alimentaires, à Lausanne, vu le courrier du 4 décembre 2012, valant demande de motivation, dans lequel Y.________ expose les charges courantes qu'il doit assumer, vu les motifs du prononcé adressés pour notification aux parties le 12 février 2013, distribués au poursuivi Y.________ le lendemain, vu l'acte de recours déposé par ce dernier le 19 février 2013 ; attendu que le recours contre un prononcé de mainlevée s'exerce par acte écrit et motivé, introduit auprès de l'instance de recours dans le délai de dix jours suivant la notification de la décision motivée (art. 321 al. 1 et 2 CPC, Code de procédure civile, RS 272), que le recours de Y.________ a été formé en temps utile, qu'en revanche, cet acte n'est pas motivé, c'est-à-dire qu'il ne comporte l'indication d'aucun moyen ou grief contre la décision de mainlevée, que la demande de motivation, qui contient l'énoncé des charges courantes du recourant, ne l'est pas non plus, que la motivation immédiate de l'acte de recours, comme le respect du délai pour déposer cet acte, est une condition de sa recevabilité, que le nouveau droit de procédure civile, en vigueur depuis le 1 er janvier 2011, ne prévoit pas la fixation d'un délai pour produire un mémoire de recours, le législateur ayant abandonné l'idée du dépôt d'une première déclaration de recours suivie d'une motivation à opérer subséquemment (Jeandin, CPC commenté, n. 7 ad art. 321 CPC et n. 9 ad art. 311 CPC ; Haldy, La nouvelle procédure civile suisse, p. 86),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(Jeandin, op. cit., n. 6 ad art. 321 CPC et n. 9 ad art. 311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ce vice n'est pas réparable (cf. par analogie : TF 5P.429/2006 du 11 décembre 2006 ; Reetz/Theiler, ZPO-Kommentar, n. 38 ad art. 311 CPC), que le recours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3 avril 2013 L'arrêt qui précède, dont la rédaction a été approuvée à huis clos, prend date de ce jour. Il est notifié, par l'envoi de photocopies, à : ‑ M. Y.________, ‑ Etat de Vaud, Bureau de recouvrement et d'avances de pensions alimentaires. La Cour des poursuites et faillites considère que la valeur litigieuse est de 9'702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