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88 vom 15. März 2012</w:t>
      </w:r>
    </w:p>
    <w:p>
      <w:r>
        <w:t>VD Tribunal cantonal, 2012-03-15, FR</w:t>
      </w:r>
    </w:p>
    <w:p>
      <w:r>
        <w:rPr>
          <w:b/>
        </w:rPr>
        <w:t xml:space="preserve">Quelle: </w:t>
      </w:r>
      <w:r>
        <w:t>https://mcp.opencaselaw.ch/entscheid/vd_findinfo_ML___2012___88</w:t>
      </w:r>
    </w:p>
    <w:p>
      <w:r>
        <w:t>FR: VD_FINDINFO ML / 2012 / 88 du 15 mars 2012</w:t>
      </w:r>
    </w:p>
    <w:p>
      <w:r>
        <w:t>IT: VD_FINDINFO ML / 2012 / 88 del 15 marzo 2012</w:t>
      </w:r>
    </w:p>
    <w:p>
      <w:pPr>
        <w:pStyle w:val="Heading2"/>
      </w:pPr>
      <w:r>
        <w:t>Regeste</w:t>
      </w:r>
    </w:p>
    <w:p>
      <w:r>
        <w:t>MAINLEVÉE PROVISOIRE, PROLONGATION DU BAIL À LOYER | 272c CO, 82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avril 2010. Les frais judiciaires de première instance, par 180 fr., sont mis à la charge du poursuivi. Ce dernier doit payer aux poursuivants, solidairement entre eux, la somme de 680 fr. à titre de dépens et de restitution d’avance de frais de première instance. Les frais de deuxième instance sont arrêtés à 360 fr. et mis à la charge de l’intimé. Ce dernier doit payer aux recourants, solidairement entre eux, la somme de 760 fr. à titre de dépens et de restitution d’avance de frais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