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78 vom 15. Mai 2012</w:t>
      </w:r>
    </w:p>
    <w:p>
      <w:r>
        <w:t>VD Tribunal cantonal, 2012-05-15, FR</w:t>
      </w:r>
    </w:p>
    <w:p>
      <w:r>
        <w:rPr>
          <w:b/>
        </w:rPr>
        <w:t xml:space="preserve">Quelle: </w:t>
      </w:r>
      <w:r>
        <w:t>https://mcp.opencaselaw.ch/entscheid/vd_findinfo_ML___2012___78</w:t>
      </w:r>
    </w:p>
    <w:p>
      <w:r>
        <w:t>FR: VD_FINDINFO ML / 2012 / 78 du 15 mai 2012</w:t>
      </w:r>
    </w:p>
    <w:p>
      <w:r>
        <w:t>IT: VD_FINDINFO ML / 2012 / 78 del 15 maggio 2012</w:t>
      </w:r>
    </w:p>
    <w:p>
      <w:pPr>
        <w:pStyle w:val="Heading2"/>
      </w:pPr>
      <w:r>
        <w:t>Regeste</w:t>
      </w:r>
    </w:p>
    <w:p>
      <w:r>
        <w:t>ACTE DE RECOURS, CONDITION DE RECEVABILITÉ, SIGNATURE, QUALITÉ POUR AGIR ET RECOURIR | 130 al. 1 CPC (CH), 132 al. 1 CPC (CH), 59 al. 1 CPC (CH), 59 al. 2 let. a CPC (CH)</w:t>
      </w:r>
    </w:p>
    <w:p>
      <w:pPr>
        <w:pStyle w:val="Heading2"/>
      </w:pPr>
      <w:r>
        <w:t>Volltext</w:t>
      </w:r>
    </w:p>
    <w:p>
      <w:r>
        <w:t>Vaud Tribunal cantonal Cour des poursuites et faillites 15.05.2012 ML / 2012 / 78</w:t>
      </w:r>
    </w:p>
    <w:p>
      <w:r>
        <w:t>ACTE DE RECOURS, CONDITION DE RECEVABILITÉ, SIGNATURE, QUALITÉ POUR AGIR ET RECOURIR | 130 al. 1 CPC (CH), 132 al. 1 CPC (CH), 59 al. 1 CPC (CH), 59 al. 2 let. a CPC (CH)</w:t>
      </w:r>
    </w:p>
    <w:p>
      <w:r>
        <w:t>TRIBUNAL CANTONAL KC11.018882-120370 187 Cour des poursuites et faillites ________________________________________________ Arrêt du 15 mai 2012 __________________ Présidence de               M. Hack , président Juges :              Mme Carlsson et M. Muller Greffier : Mme              Debétaz Ponnaz ***** Art. 59 al. 1 et 2 let. a, 130 al. 1 et 132 al. 1 CPC Vu le recours formé par acte non signé déposé le 24 août 2011 au nom de F.________Sàrl , E.________ , au Mont-sur-Lausanne, contre la décision de mainlevée définitive d'opposition rendue sous forme de dispositif le 8 août 2011 par le Juge de paix du district Lausanne dans la poursuite n° 5'752'382 de l'Office des poursuites du district de Lausanne exercée contre F.________Ltd. à la réquisition de la Confédération suisse , représentée par l'Office d'impôt des personnes morales, à Yverdon-les-Bains, vu les motifs du prononcé de mainlevée adressés pour notification aux parties le 8 septembre 2011, vu la transmission du dossier par le juge de paix à la cour de céans, autorité de recours; attendu que, par lettre recommandée adressée le 11 avril 2012 à F.________Sàrl, E.________, le Président de la cour de céans lui a imparti un délai au 23 avril 2012 pour signer le recours et préciser au nom de quelle société celui-ci était déposé, mentionnant qu'à défaut, le recours pourrait être jugé irrecevable, que cette lettre a été remise le 17 avril 2012 à sa destinataire, que, par lettre datée du 24 et postée le 25 avril 2012, F.________Ltd., E.________ a indiqué agir "en tant que le F.________Ltd.", tout en déposant un exemplaire de l'acte de recours du 24 août 2011 signé pour "F.________Sàrl, E.________" que cette écriture étant tardive, la cour de céans n'a pas à la prendre en considération, qu'au surplus, même si l'on tenait compte de la signature tardive du recours, on devrait considérer que celui-ci a été formé par une personne qui n'est pas partie à la procédure et n'a dès lors pas d'intérêt à recourir (art. 59 al. 2 let. a CPC), que le recours doit par conséquent être déclaré irrecevable (art. 59 al. 1 et 132 al. 1 in fine CPC);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15 mai 2012 L'arrêt qui précède, dont la rédaction a été approuvée à huis clos, prend date de ce jour. Il est notifié, par l'envoi de photocopies, à : ‑ F.________Sàrl, ‑ Office d'impôt des personnes morales (pour la Confédération suisse). La Cour des poursuites et faillites considère que la valeur litigieuse est de 85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