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71 vom 30. März 2012</w:t>
      </w:r>
    </w:p>
    <w:p>
      <w:r>
        <w:t>VD Tribunal cantonal, 2012-03-30, FR</w:t>
      </w:r>
    </w:p>
    <w:p>
      <w:r>
        <w:rPr>
          <w:b/>
        </w:rPr>
        <w:t xml:space="preserve">Quelle: </w:t>
      </w:r>
      <w:r>
        <w:t>https://mcp.opencaselaw.ch/entscheid/vd_findinfo_ML___2012___71</w:t>
      </w:r>
    </w:p>
    <w:p>
      <w:r>
        <w:t>FR: VD_FINDINFO ML / 2012 / 71 du 30 mars 2012</w:t>
      </w:r>
    </w:p>
    <w:p>
      <w:r>
        <w:t>IT: VD_FINDINFO ML / 2012 / 71 del 30 marzo 2012</w:t>
      </w:r>
    </w:p>
    <w:p>
      <w:pPr>
        <w:pStyle w:val="Heading2"/>
      </w:pPr>
      <w:r>
        <w:t>Regeste</w:t>
      </w:r>
    </w:p>
    <w:p>
      <w:r>
        <w:t>MAINLEVÉE PROVISOIRE, RECONNAISSANCE DE DETTE | 82 LP, 58 al. 1 CPC (CH)</w:t>
      </w:r>
    </w:p>
    <w:p>
      <w:pPr>
        <w:pStyle w:val="Heading2"/>
      </w:pPr>
      <w:r>
        <w:t>Erwägungen</w:t>
      </w:r>
    </w:p>
    <w:p>
      <w:r>
        <w:rPr>
          <w:b/>
        </w:rPr>
        <w:t>E. 24</w:t>
      </w:r>
    </w:p>
    <w:p>
      <w:r>
        <w:t>août 2011, a été déposé en temps utile (art. 321 al. 2 CPC, Code de procédure civile du 19 décembre 2008; RS 272). Il est suffisamment motivé (art. 321 al. 1 CPC) et au vu des conclusions précisées dans l'écriture du 6 décembre 2011, conformément à l'art. 56 CPC, il est recevable formellement. On comprend que la recourante conclut à ce que le montant de 3'500 fr., correspondant à la valeur des luminaires, soit déduit du montant alloué par le premier juge. Le recours joint étant prohibé par l'art. 323 CPC, le moyen soulevé par l'intimée dans sa réponse du 15 décembre 2011 est irrecevable. Quant à l'écriture de la recourante du 28 décembre 2011, elle est recevable au titre de réplique,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références citées; TF 5A_42/2011 du 21 mars 2011 c. 2).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Le contrat signé de bail à loyer constitue en principe une reconnaissance de dette pour le montant du loyer échu, pour autant que le bailleur ait mis l'objet du contrat à disposition du locataire (Panchaud/Caprez, op. cit. §§ 74 et 75; Gilliéron, op. cit., nn. 49 et 50 ad art. 82 LP).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Celui à qui la reconnaissance de dette confère le pouvoir de disposer de la prestation est en principe qualifié pour obtenir la mainlevée. La mainlevée peut être accordée à celui qui prend la place du créancier désigné dans la reconnaissance de dette, notamment par l'effet d'une cession (art. 165 CO), pour autant que le transfert soit établi par pièces (Panchaud/Caprez, la mainlevée d'opposition, § 18). En l'espèce, les titres valant reconnaissance de dette, soit les contrats de bail des 16 mars 2000 et 9 avril 2001, désignent comme bailleur W.________. Pour établir qu'elle est légitimée à poursuivre la recourante, la Banque S.________ doit donc établir sa qualité de cessionnaire. Or, il n'y a donc pas eu de cession de bail en sa faveur au sens de l'art. 261 CO, dès lorsque la banque était déjà propriétaire des immeubles lors de la conclusion des contrats. On doit donc constater, sur la base des pièces au dossier, qu'il n'y a pas identité entre le créancier désigné dans la reconnaissance de dette et le poursuivant. Cette constatation devrait entraîner en principe le rejet de la requête de mainlevée. Le juge ne peut toutefois statuer ultra petita (art. 58 al. 1 CPC). Il s'agit là d'un principe général, qui vaut pour toutes les procédures, sous réserve de celles mentionnées à l'al. 2 de cette disposition, qui n'est pas en cause ici. La recourante n'ayant contesté que le montant de 3'500 fr. sur la créance admise par le premier juge, l'opposition peut être provisoirement levée à concurrence de 16'690 fr.  (20'190 – 3'500). La décision relative à l'intérêt moratoire, alloué à 5 % dès l'échéance moyenne du 1 er juillet 2009 n'a pas non plus été remise en cause et doit donc être confirmée. III. Le recours doit ainsi être admis et le prononcé entrepris réformé en ce sens que l'opposition à la poursuite en cause est provisoirement levée à concurrence de 16'690 fr., l'opposition étant maintenue pour le surplus. Les frais judiciaires et dépens de première instance mis à la charge de la poursuivie doivent en conséquence être réduits. Les frais, arrêtés à 360 fr., sont mis à la charge de la poursuivie à concurrence de 324 fr. et à la charge de la poursuivante à hauteur de 36 francs. Les dépens de première instance dus par la poursuivie sont arrêtés à 900 francs. Les frais judiciaires de deuxième instance, calculés sur une valeur litigieuse de 3'500 fr. doivent être fixés à 315 francs. L'intimée devra verser ce montant à la recourante à titre de restitution d'avance de frais de deuxième instance. La recourante ayant procédé sans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