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63 vom 16. Februar 2012</w:t>
      </w:r>
    </w:p>
    <w:p>
      <w:r>
        <w:t>VD Tribunal cantonal, 2012-02-16, FR</w:t>
      </w:r>
    </w:p>
    <w:p>
      <w:r>
        <w:rPr>
          <w:b/>
        </w:rPr>
        <w:t xml:space="preserve">Quelle: </w:t>
      </w:r>
      <w:r>
        <w:t>https://mcp.opencaselaw.ch/entscheid/vd_findinfo_ML___2012___63</w:t>
      </w:r>
    </w:p>
    <w:p>
      <w:r>
        <w:t>FR: VD_FINDINFO ML / 2012 / 63 du 16 février 2012</w:t>
      </w:r>
    </w:p>
    <w:p>
      <w:r>
        <w:t>IT: VD_FINDINFO ML / 2012 / 63 del 16 febbraio 2012</w:t>
      </w:r>
    </w:p>
    <w:p>
      <w:pPr>
        <w:pStyle w:val="Heading2"/>
      </w:pPr>
      <w:r>
        <w:t>Regeste</w:t>
      </w:r>
    </w:p>
    <w:p>
      <w:r>
        <w:t>MAINLEVÉE DÉFINITIVE, DÉCISION DE COTISATIONS, COTISATION AVS/AI/APG | 54 al. 1 LPGA, 54 al. 2 LPGA, 34a RAVS</w:t>
      </w:r>
    </w:p>
    <w:p>
      <w:pPr>
        <w:pStyle w:val="Heading2"/>
      </w:pPr>
      <w:r>
        <w:t>Erwägungen</w:t>
      </w:r>
    </w:p>
    <w:p>
      <w:r>
        <w:rPr>
          <w:b/>
        </w:rPr>
        <w:t>E. 2</w:t>
      </w:r>
    </w:p>
    <w:p>
      <w:r>
        <w:t>, donne le solde de 153 fr. 50. Il en résulte que l'identité entre la créance énoncée dans la poursuite et celle qui ressort du titre est établie. c) Le montant de 150 fr. sans intérêt pour lequel la recourante conclut également à l'octroi de la mainlevée définitive correspond à l'émolument indiqué dans la décision de sommation du 9 novembre 2010.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Par son rappel du 9 novembre 2010, la recourante a mis à la charge de l'intimée un émolument de 150 fr., indiqué que ce rappel valait décision de sommation au sens de l'art. 34a RAVS et mentionné les voies de droit. On doit dès lors admettre que la teneur de la décision du 9 novembre 2010 permettait à l'intimée de comprendre sans ambiguïté qu'à défaut d'opposition, elle se trouverait sous le coup d'une véritable décision assimilable à un jugement définitif et exécutoire (cf. CPF, 30 octobre 2008/516). III. Le recours doit en conséquence être admis et le prononcé attaqué réformé en ce sens que l’opposition est définitivement levée à hauteur de 1'314 fr. 45 plus intérêt à 5 % l’an dès le 1 er octobre 2010 sur la somme de 1'125 fr. 35 et à hauteur de 150 fr. sans intérêt. Les frais judiciaires de première instance, par 150 fr., sont mis à la charge de la poursuivie. Cette dernière doit payer à la poursuivante la somme de 150 francs à titre de restitution d’avance de frais de première instance. Les frais judiciaires de deuxième instance sont arrêtés à 270 fr. et mis à la charge de l’intimée. Cette dernière doit verser à la recourante la somme de 270 fr. à titre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