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60 vom 8. Februar 2012</w:t>
      </w:r>
    </w:p>
    <w:p>
      <w:r>
        <w:t>VD Tribunal cantonal, 2012-02-08, FR</w:t>
      </w:r>
    </w:p>
    <w:p>
      <w:r>
        <w:rPr>
          <w:b/>
        </w:rPr>
        <w:t xml:space="preserve">Quelle: </w:t>
      </w:r>
      <w:r>
        <w:t>https://mcp.opencaselaw.ch/entscheid/vd_findinfo_ML___2012___60</w:t>
      </w:r>
    </w:p>
    <w:p>
      <w:r>
        <w:t>FR: VD_FINDINFO ML / 2012 / 60 du 8 février 2012</w:t>
      </w:r>
    </w:p>
    <w:p>
      <w:r>
        <w:t>IT: VD_FINDINFO ML / 2012 / 60 del 8 febbraio 2012</w:t>
      </w:r>
    </w:p>
    <w:p>
      <w:pPr>
        <w:pStyle w:val="Heading2"/>
      </w:pPr>
      <w:r>
        <w:t>Regeste</w:t>
      </w:r>
    </w:p>
    <w:p>
      <w:r>
        <w:t>MAINLEVÉE DÉFINITIVE, DÉCISION DE COTISATIONS, COTISATION AVS/AI/APG | 80 LP, 54 al. 1 LPGA, 34a RAVS, 41bis al. 1 let. a RAVS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septembre 2010. III. Le recours doit en conséquence être admis et le prononcé attaqué réformé en ce sens que l’opposition est définitivement levée à hauteur de 3'524 fr. 80 plus intérêt à 5 % l’an dès le 1 er septembre 2010, sous déduction du montant de 94 francs 65 valeur au 29 avril 2011, et à concurrence de 50 fr. sans intérêt. Les frais judiciaires de première instance, par 150 fr., sont mis à la charge de la poursuivie. Cette dernière doit payer à la poursuivante la somme de 150 francs à titre de restitution d’avance de frais de première instance. Les frais de deuxième instance sont arrêtés à 315 fr. et mis à la charge de l’intimée. Cette dernière doit verser à la recourante la somme de 315 fr. à titre de restitution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