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 vom 6. Oktober 2011</w:t>
      </w:r>
    </w:p>
    <w:p>
      <w:r>
        <w:t>VD Tribunal cantonal, 2011-10-06, FR</w:t>
      </w:r>
    </w:p>
    <w:p>
      <w:r>
        <w:rPr>
          <w:b/>
        </w:rPr>
        <w:t xml:space="preserve">Quelle: </w:t>
      </w:r>
      <w:r>
        <w:t>https://mcp.opencaselaw.ch/entscheid/vd_findinfo_ML___2012___6</w:t>
      </w:r>
    </w:p>
    <w:p>
      <w:r>
        <w:t>FR: VD_FINDINFO ML / 2012 / 6 du 6 octobre 2011</w:t>
      </w:r>
    </w:p>
    <w:p>
      <w:r>
        <w:t>IT: VD_FINDINFO ML / 2012 / 6 del 6 ottobre 2011</w:t>
      </w:r>
    </w:p>
    <w:p>
      <w:pPr>
        <w:pStyle w:val="Heading2"/>
      </w:pPr>
      <w:r>
        <w:t>Regeste</w:t>
      </w:r>
    </w:p>
    <w:p>
      <w:r>
        <w:t>MAINLEVÉE PROVISOIRE, CONTRAT BILATÉRAL, CONTRAT DE CRÉDIT À LA CONSOMMATION, NULLITÉ | 82 LP</w:t>
      </w:r>
    </w:p>
    <w:p>
      <w:pPr>
        <w:pStyle w:val="Heading2"/>
      </w:pPr>
      <w:r>
        <w:t>Erwägungen</w:t>
      </w:r>
    </w:p>
    <w:p>
      <w:r>
        <w:rPr>
          <w:b/>
        </w:rPr>
        <w:t>E. 8</w:t>
      </w:r>
    </w:p>
    <w:p>
      <w:r>
        <w:t>CG qui en fait partie intégrante. Le coût total du crédit (art. 9 al. 2 let. d LCC) est indiqué. Il s'élève à 9'184 fr. 80 et correspond à l'addition de vingt-quatre mensualités de 382 fr. 65. En revanche, les indications sur la possibilité de rembourser le solde du crédit de manière anticipée (art. 9 al. 2 let. g LCC) et la capacité financière du consommateur (art. 9 al. 2 let. j LCC), en particulier ses revenus et ses charges, ne sont pas mentionnées. Par ailleurs, vu l’art. 4 CG et les déterminations de l’intimé, le recourant était censé souscrire un contrat de crédit auprès d'une banque. Or, aucune indication concernant le taux d’intérêt de ce crédit ne figure dans le contrat litigieux (art. 9 al. 2 let. b LCC). C’est donc à bon droit que le recourant invoque la nullité de ce contrat, celui-ci ne respectant pas les dispositions impératives de la LCC à laquelle il est soumis. Aucune prestation n’ayant été fournie de part ou d’autre, le premier juge aurait dû rejeter la requête de mainlevée. Le recours devant être admis pour ce motif, il n'y a pas lieu d'examiner le second moyen soulevé par le recourant. IV. Au vu de ce qui précède, le recours doit être admis et le prononcé réformé en ce sens que l'opposition formée par B.________ au commandement de payer n° 5'520'536 est maintenue et qu'il n'est pas alloué de dépens de première instance. Les frais de deuxième instance du recourant sont arrêtés à 405 francs. Le recourant obtenant gain de cause, l'intimé doit lui verser la somme de 905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