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38 vom 29. März 2012</w:t>
      </w:r>
    </w:p>
    <w:p>
      <w:r>
        <w:t>VD Tribunal cantonal, 2012-03-29, FR</w:t>
      </w:r>
    </w:p>
    <w:p>
      <w:r>
        <w:rPr>
          <w:b/>
        </w:rPr>
        <w:t xml:space="preserve">Quelle: </w:t>
      </w:r>
      <w:r>
        <w:t>https://mcp.opencaselaw.ch/entscheid/vd_findinfo_ML___2012___38</w:t>
      </w:r>
    </w:p>
    <w:p>
      <w:r>
        <w:t>FR: VD_FINDINFO ML / 2012 / 38 du 29 mars 2012</w:t>
      </w:r>
    </w:p>
    <w:p>
      <w:r>
        <w:t>IT: VD_FINDINFO ML / 2012 / 38 del 29 marzo 2012</w:t>
      </w:r>
    </w:p>
    <w:p>
      <w:pPr>
        <w:pStyle w:val="Heading2"/>
      </w:pPr>
      <w:r>
        <w:t>Regeste</w:t>
      </w:r>
    </w:p>
    <w:p>
      <w:r>
        <w:t>RECONNAISSANCE DE DETTE, MONNAIE ÉTRANGÈRE, CONVERSION{CALCUL}, COURS DE CONVERSION, RÉQUISITION DE POURSUITE, JOUR DÉTERMINANT | 67 al. 1 ch. 3 LP, 82 LP</w:t>
      </w:r>
    </w:p>
    <w:p>
      <w:pPr>
        <w:pStyle w:val="Heading2"/>
      </w:pPr>
      <w:r>
        <w:t>Erwägungen</w:t>
      </w:r>
    </w:p>
    <w:p>
      <w:r>
        <w:rPr>
          <w:b/>
        </w:rPr>
        <w:t>E. 5</w:t>
      </w:r>
    </w:p>
    <w:p>
      <w:r>
        <w:t>novembre 2011 étant un extrait du registre du commerce, soit, selon la jurisprudence la plus récente du Tribunal fédéral, un fait notoire qu’il n’est pas nécessaire d’alléguer ni de prouver (TF 5A_62/2009 du 2 juillet 2009 c. 2.1), elle pourra, le cas échéant, être prise en considération.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convention du 5 novembre 2007 comportant l’engage-ment de LA.________ SA de rembourser à M.________ au minimum 106'120 dollars à la date du 6 novembre 2010, ou le cas échéant un montant supérieur, constitue une reconnaissance de dette sur le principe.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aa) La recourante fait tout d'abord valoir que l’identité de la débitrice figurant dans la convention produite –LA.________ SA – et l’identité de la poursuivie dans le commandement de payer –L.________ SA – ne coïncident pas, ce qui exclurait le prononcé de la mainlevée. Sur cette question, le juge de paix a retenu que LA.________ SA, inscrite sous cette raison sociale depuis le</w:t>
      </w:r>
    </w:p>
    <w:p>
      <w:r>
        <w:rPr>
          <w:b/>
        </w:rPr>
        <w:t>E. 8</w:t>
      </w:r>
    </w:p>
    <w:p>
      <w:r>
        <w:t>mai 2006, est devenue L.________ SA le 28 novembre 2007, selon l'extrait de la Feuille officielle suisse du commerce (FOSC) figurant au dossier. La recourante soutient que cette pièce n'a pas été produite par le poursuivant et reproche au premier d’en avoir tenu compte d’office. En mainlevée d’opposition, la procédure sommaire qui s’applique (art. 251 let. a CPC) ne connaît pas d’établissement d’office des faits (art. 255 let. a CPC a contrario). Le juge n’est donc pas autorisé à administrer d’office des preuves (art. 153 al. 1 CPC). En revanche, il peut tenir compte des faits notoires qui n’ont pas à être prouvés. Selon la jurisprudence du Tribunal fédéral, les faits publiés dans la Feuille officielle suisse du commerce sont notoires (TF 5A_62/2009 du 2 juillet 2009 et réf. cit.). Ainsi, il importe peu que l'extrait litigieux de la FOSC ait été ou non produit par une partie, le juge pouvait en tenir compte d'office. Ledit extrait établissant indubitablement que la société LA.________ SA s'est bornée à modifier sa raison sociale en supprimant le terme " [...]", l'identité entre le débiteur désigné dans le titre et celui mentionné dans le commandement de payer est réalisée. Ce premier moyen doit donc être rejeté. bb) Dans un second moyen, la recourante soutient que la convention produite ne permet pas de déterminer en quelle monnaie nationale la dette est exprimée. La convention du 5 novembre 2007 parle du remboursement d'un montant de "106'120 (…) Dollars". Toutes les autres pièces produites par le poursuivant, en particulier les courriers des 30 octobre et 18 novembre 2010, qui se réfèrent expressément à la convention précitée, font état de "US$ 106'120" et "USD 106'12". Selon le Petit Robert, le sens premier du mot "dollar" est l’unité monétaire des Etats-Unis d’Amérique. Compte tenu de la notoriété de ce fait (Schweizer, CPC commenté, n. 4 ad art. 151 CPC) et du rapprochement des pièces figurant au dossier, il y a lieu d'admettre que la dette est bien libellée en dollars américains. Ce second moyen est donc également mal fondé. cc) Dans un troisième moyen, la recourante soutient que, faute de production de la réquisition de poursuite, la date à laquelle la conversion en valeur légale suisse de la créance stipulée en monnaie étrangère doit être effectuée n'est pas connue, si bien que le montant de la créance est indéterminé. A teneur de l'art. 67 al. 1 ch. 3 LP, la réquisition de poursuite adressée à l'office énonce le montant de la créance en valeur légale suisse. La conversion se fait au cours de l'offre des devises du jour de la réquisition de poursuite (ATF 51 III 180 c. 4; ATF 135 III 88 c. 4.1; ATF 137 III 623). Le taux de conversion constitue un fait notoire que le juge doit prendre en compte d'office (ATF 135 III 88 c. 4.1 précité). Encore faut-il que le juge connaisse le jour de la réquisition de poursuite, puisque c'est à cette date que la conversion intervient. En l'espèce, l'intimé n'a pas produit sa réquisition de poursuite et on ignore à quelle date elle est intervenue. La date apposée sur le commandement de payer ne correspond pas à la date de la réquisition de poursuite mais à celle où l'office des poursuites a établi le commandement de payer.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Un certain laps de temps est toutefois susceptible de s'écouler entre la réception de la réquisition de poursuite et l'établissement du commandement de payer. Il est ainsi exclu de pouvoir considérer que la date qui figure sur le commandement de payer est identique à celle de la réquisition de poursuite. Le poursuivant a appliqué un taux de conversion de 1.0 entre le dollar américain et le franc suisse (52'250.25 francs suisses réclamés pour une créance de 52'250.25 dollars américains). Ce taux pourrait s'appliquer à la condition d'avantager – ou en tous les cas de ne pas désavantager – le débiteur. Tel serait le cas si durant la période allant de la date de l’exigibilité de la dette reconnue, soit le 6 novembre 2010, à la date de la notification de la poursuite, soit le 10 mars 2011, le cours du dollar américain n'était pas descendu plus bas que ledit taux. Or, selon le site internet dont le Tribunal fédéral recommande la consultation (fxtop.com), le taux officiel de conversion du dollar américain en franc suisse donné par la Banque centrale européenne est passé en dessous de ce seuil durant la période précitée, le taux minimal ayant été de 0,9239. Cela étant, le taux appliqué par le poursuivant se saurait être retenu. Dans ces circonstances, la date de la réquisition de poursuite n'étant pas établie et faute de savoir quel taux de change prendre en compte, le montant de la créance n'est pas déterminable. La mainlevée ne saurait donc être prononcée.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6 août 2009/246; CPF, 17 décembre 2009/442). L'intimé pourra ainsi, le cas échéant, requérir à nouveau la mainlevée en produisant toutes les pièces utiles. III. Le recours doit en conséquence être admis et le prononcé attaqué réformé en ce sens que l'opposition formée par L.________ SA au commandement de payer n° 5'622'652 de l'Office des poursuites du district de Lausanne-Est, à la réquisition de M.________, est maintenue. Les frais de première instance, arrêtés à 480 fr., sont mis à la charge du poursuivant. Le poursuivant M.________ doit verser à la poursuivie L.________ SA la somme de 1'125 fr. à titre de dépens de première instance. Les frais de deuxième instance, arrêtés à 630 fr. sont mis à la charge de l'intimé. L'intimé M.________ doit verser à la recourante L.________ SA la somme de 1'380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