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37 vom 16. März 2012</w:t>
      </w:r>
    </w:p>
    <w:p>
      <w:r>
        <w:t>VD Tribunal cantonal, 2012-03-16, FR</w:t>
      </w:r>
    </w:p>
    <w:p>
      <w:r>
        <w:rPr>
          <w:b/>
        </w:rPr>
        <w:t xml:space="preserve">Quelle: </w:t>
      </w:r>
      <w:r>
        <w:t>https://mcp.opencaselaw.ch/entscheid/vd_findinfo_ML___2012___37</w:t>
      </w:r>
    </w:p>
    <w:p>
      <w:r>
        <w:t>FR: VD_FINDINFO ML / 2012 / 37 du 16 mars 2012</w:t>
      </w:r>
    </w:p>
    <w:p>
      <w:r>
        <w:t>IT: VD_FINDINFO ML / 2012 / 37 del 16 marzo 2012</w:t>
      </w:r>
    </w:p>
    <w:p>
      <w:pPr>
        <w:pStyle w:val="Heading2"/>
      </w:pPr>
      <w:r>
        <w:t>Regeste</w:t>
      </w:r>
    </w:p>
    <w:p>
      <w:r>
        <w:t>MAINLEVÉE DÉFINITIVE, TITRE DE MAINLEVÉE, IDENTITÉ, CRÉANCE, OBLIGATION D'ENTRETIEN | 80 al. 1 LP</w:t>
      </w:r>
    </w:p>
    <w:p>
      <w:pPr>
        <w:pStyle w:val="Heading2"/>
      </w:pPr>
      <w:r>
        <w:t>Erwägungen</w:t>
      </w:r>
    </w:p>
    <w:p>
      <w:r>
        <w:rPr>
          <w:b/>
        </w:rPr>
        <w:t>E. 19</w:t>
      </w:r>
    </w:p>
    <w:p>
      <w:r>
        <w:t>décembre 2008; RS 272). Il est écrit et motivé et contient des conclusions (sur l'exigence de conclusions: cf. Jeandin, Code de procédure civile commenté, n. 5 ad art. 321 CPC). Il est ainsi recevable. La réponse de l'intimée est également recevable, ayant été déposée dans le délai de l'art. 322 al. 2 CPC. II. a) Aux termes de l'art. 80 al. 1 LP (Loi fédérale sur la poursuite pour dettes et la faillite du 11 avril 1889; RS 281.1), le créancier qui est au bénéfice d'un jugement exécutoire peut requérir du juge la mainlevée définitive de l'opposition. Sont assimilées à des jugements, notamment les transactions ou reconnaissances passées en justice (art. 80 al. 2 LP). Le jugement définitif et exécutoire rendu par un juge civil sur une créance en argent est le titre exemplaire de la mainlevée définitive (Panchaud/Caprez, La mainlevée d'opposition, § 99 II). Le juge de la mainlevée définitive n'a ni à revoir ni à interpréter le titre de mainlevée définitive (ATF 135 III 315 c. 2.3; ATF 134 III 656 c. 5.3, JT 2008 II 94; ATF 124 III 501 c. 3a, JT 1999 II 136); il ne peut remettre en question le bien-fondé de la décision produite, en se livrant à des considérations relevant du droit du fond relatives à l'existence matérielle de la créance (ATF 113 III 6 c. 1b, JT 1989 II 70). Le jugement rendu le 22 mars 2005 par le Président du Tribunal d'arrondissement de la Côte, exécutoire depuis le 14 avril 2005, constitue bien un titre à la mainlevée définitive pour les pensions échues à l'introduction de la poursuite. b) En procédure de mainlevée, le juge doit vérifier d'office notamment l'identité entre la créance en poursuite et la créance reconnue dans le titre (Gilliéron, Commentaire de la loi fédérale sur la poursuite pour dette et la faillite, nn. 73 et 74 ad art. 82 LP; CPF, 17 avril 2008/155). En vertu de l'art. 69 al. 2 ch. 1 LP, le commandement de payer doit contenir les indications prescrites pour la réquisition de poursuite, énoncées à l'art. 67 al. 1 LP. Le but de ces dispositions légales est de satisfaire à un besoin de clarté et d'information à l'égard du poursuivi (Gilliéron, op. cit., n. 77 ad art. 67 LP). En d'autres termes, le poursuivi ne doit pas être obligé de faire opposition au commandement de payer pour obtenir, dans une procédure de mainlevée subséquente ou dans une procédure en reconnaissance de dette, les renseignements nécessaires sur la prétention déduite en poursuite. Le commandement de payer doit indiquer notamment le titre de la créance et sa date et, à défaut de titre, la cause de l'obligation (art. 67 al. 1 ch. 4 LP). Même si un titre existe, l'indication de la cause suffit (ATF 95 III 33, JT 1970 II 46; Ruedin, Commentaire romand, n. 34 ad art. 67 LP). Le commandement de payer, qui est une sommation faite au poursuivi de payer un certain montant, doit le renseigner sur la raison de la poursuite, afin de lui permettre de déterminer s'il doit ou non former opposition. Toute périphrase relative à la cause de la créance qui permet au poursuivi, conjointement avec les autres indications figurant sur le commandement de payer, de se résoudre à reconnaître la somme déduite en poursuite, doit suffire. Lorsque la cause de la créance est reconnaissable par le poursuivi en raison de l'ensemble des rapports étroits qu'il connaît, il suffit que la cause de la créance soit exprimée succinctement en vertu du principe de la bonne foi qui doit aussi être observé dans le droit de l'exécution forcée (ATF 121 III 18 c. 2b, JT 1997 II 95). La caractérisation de la prétention étant essentielle, la cour de céans a notamment jugé qu'en matière de prestations périodiques (contributions d'entretien, cotisations, loyers), il appartenait au poursuivant d'indiquer dans le commandement de payer la période concernée et que la mainlevée devait être refusée lorsque la créance était insuffisamment désignée à cet égard (CPF, 9 janvier 2012/20; CPF, 4 mars 2010/100; CPF, 29 octobre 2009/369). En particulier, la cour de céans a abandonné la distinction opérée antérieurement entre l'absence d'indication de la période – qui ne pouvait être attaquée que par la voie de la plainte et ne pouvait motiver un rejet de la requête de mainlevée – et l'erreur d'indication de la période – qui pouvait aboutir à un rejet de la requête de mainlevée pour défaut d'identité entre la créance reconnue dans le titre et celle en poursuite. Cette distinction aboutissait en effet à des inégalités de traitement qui n'étaient pas justifiées et à soustraire à l'examen du juge de la mainlevée la désignation suffisante de la créance sur le commandement de payer (CPF, 29 octobre 2009/369 précité et les réf. citées). Dans un arrêt plus récent, la cour de céans a rappelé que l'identification de créance en prestations d'entretien imposait à la partie poursuivante de désigner avec précision les périodes (les mois) pour lesquelles la contribution mensuelle était réclamée – le montant de celle-ci pouvant varier aussi bien par son montant nominal en fonction de tranches d'âges que par le calcul de l'indexation – et que ces exigences de forme étaient justifiées et n'apparaissaient pas disproportionnées en raison des conséquences rigoureuses d'une mainlevée définitive pour le débiteur, qui, le cas échéant, ne peut plus agir en libération de dette (CPF, 9 janvier 2012/20). La doctrine exige également que le créancier qui se prévaut d'un jugement astreignant le débiteur à fournir des prestations périodiques fournisse les indications relatives aux périodes pour lesquelles ces prestations sont exigées (Staehelin, Basler Kommentar, nn. 37 et 40 ad art. 80 LP). c) En l'espèce, le commandement de payer indique "Contribution d'entretien selon jugement de divorce du 22 mars 2005". L'identité entre la créance en poursuite et celle constatée dans le titre produit ne peut ainsi être déterminée avec précision, tant dans son fondement que dans sa quotité. C'est donc à juste titre que le premier juge a rejeté la mainlevée de l'opposition. III. Le recours doit ainsi être rejeté et le prononcé confirmé. Les frais de deuxième instance du recourant doivent être arrêtés à 630 francs. Il n'y a pas lieu d'allouer de dépens de deuxième instance à l'intimée qui n'a pas été assistée d'un conseil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