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345 vom 15. Januar 2013</w:t>
      </w:r>
    </w:p>
    <w:p>
      <w:r>
        <w:t>VD Tribunal cantonal, 2013-01-15, FR</w:t>
      </w:r>
    </w:p>
    <w:p>
      <w:r>
        <w:rPr>
          <w:b/>
        </w:rPr>
        <w:t xml:space="preserve">Quelle: </w:t>
      </w:r>
      <w:r>
        <w:t>https://mcp.opencaselaw.ch/entscheid/vd_findinfo_ML___2012___345</w:t>
      </w:r>
    </w:p>
    <w:p>
      <w:r>
        <w:t>FR: VD_FINDINFO ML / 2012 / 345 du 15 janvier 2013</w:t>
      </w:r>
    </w:p>
    <w:p>
      <w:r>
        <w:t>IT: VD_FINDINFO ML / 2012 / 345 del 15 gennaio 2013</w:t>
      </w:r>
    </w:p>
    <w:p>
      <w:pPr>
        <w:pStyle w:val="Heading2"/>
      </w:pPr>
      <w:r>
        <w:t>Regeste</w:t>
      </w:r>
    </w:p>
    <w:p>
      <w:r>
        <w:t>OBJET DU RECOURS, DÉLAI DE RECOURS, DÉLAI LÉGAL, PROLONGATION DU DÉLAI | 321 CPC (CH)</w:t>
      </w:r>
    </w:p>
    <w:p>
      <w:pPr>
        <w:pStyle w:val="Heading2"/>
      </w:pPr>
      <w:r>
        <w:t>Volltext</w:t>
      </w:r>
    </w:p>
    <w:p>
      <w:r>
        <w:t>Vaud Tribunal cantonal Cour des poursuites et faillites 15.01.2013 ML / 2012 / 345</w:t>
      </w:r>
    </w:p>
    <w:p>
      <w:r>
        <w:t>OBJET DU RECOURS, DÉLAI DE RECOURS, DÉLAI LÉGAL, PROLONGATION DU DÉLAI | 321 CPC (CH)</w:t>
      </w:r>
    </w:p>
    <w:p>
      <w:r>
        <w:t>TRIBUNAL CANTONAL KC11.043940-122270 18 Cour des poursuites et faillites ________________________________________________ Arrêt du 15 janvier 2013 __________________ Présidence de               M. Hack , président Juges :              Mme Carlsson et M. Sauterel Greffier : Mme              van Ouwenaller ***** Art. 321 al. 1 CPC Vu la décision rendue le 11 juillet 2012, à la suite de l'interpellation du poursuivi, par le Juge de paix du district de la Broye – Vully, prononçant la mainlevée définitive, à concurrence 15'171 fr. 90 avec intérêt à 3.25 % l'an dès le 6 novembre 2010, de 78 fr. 15 sans intérêt, de 1'598 fr. 75 sans intérêt, de 370 fr. sans intérêt et de 400 fr. sans intérêt, de l'opposition formée par M.________ , à Missy, au commandement de payer qui lui avait été notifié le 19 novembre 2010, dans la poursuite n° 5'605'343 de l'Office des poursuites du district de la Broye – Vully, exercée à l'instance du Z.________ , et des Q.________ , arrêtant à 360 fr. les frais judiciaires mis à la charge du poursuivi et disant qu'en conséquence celui-ci rembourserait à la poursuivante son avance de frais à concurrence de 360 fr., sans allocation de dépens pour le surplus, vu le prononcé motivé adressé aux parties le 20 novembre 2012 et notifié au poursuivi le lendemain, vu l'acte adressé le 29 novembre 2012 au premier juge par M.________, par lequel il a déclaré former "une plainte" contre ce prononcé et sollicité une prolongation de délai, invoquant sa mauvaise compréhension du français;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qu'en l'espèce, la lettre du poursuivi du 29 novembre 2012 adressée au Juge de paix du district de la Broye – Vully, dans le délai de demande de motivation (art. 329 al. 2 CPC), s'il s'agit d'un recours, a été déposée en temps utile; attendu que l'art. 321 al. 1 CPC exige en outre que le recours soit écrit et motivé, que la motivation de l'acte, soit l'indication des motifs de recours est une condition de recevabilité du recours, que l'indication des voies de droit de recours figurant sur le prononcé attaqué mentionne expressément l'exigence d'un acte de recours écrit et motivé, qu'au minimum, la motivation du recours doit permettre de comprendre ce que le recourant veut obtenir (CPF, 16 juillet 2012/238; Jeandin, Code de procédure civile commenté, n. 3 ad art. 311 CPC in fine), qu'en l'espèce, dans son écrit du 29 novembre 2012, le recourant expose "avoir une plainte" contre le prononcé du premier juge, sans indiquer de moyens ou de motifs, que cet acte ne satisfait donc pas aux exigences de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le recours déposé par M.________, dans la mesure où il s'agit d'un recours, est par conséquent irrecevable; attendu que dans sa lettre du 29 novembre 2012, M.________ a requis une prolongation de délai, qu'aux termes de l'art. 144 al. 1 CPC, les délais légaux ne peuvent pas être prolongés, qu'en conséquence, le recours doit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janvier 2013 L'arrêt qui précède, dont la rédaction a été approuvée à huis clos, prend date de ce jour. Il est notifié, par l'envoi de photocopies, à : ‑ M. M.________, ‑ Le Z.________ et les Q.________ . La Cour des poursuites et faillites considère que la valeur litigieuse est de 17'618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