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335 vom 20. Dezember 2012</w:t>
      </w:r>
    </w:p>
    <w:p>
      <w:r>
        <w:t>VD Tribunal cantonal, 2012-12-20, FR</w:t>
      </w:r>
    </w:p>
    <w:p>
      <w:r>
        <w:rPr>
          <w:b/>
        </w:rPr>
        <w:t xml:space="preserve">Quelle: </w:t>
      </w:r>
      <w:r>
        <w:t>https://mcp.opencaselaw.ch/entscheid/vd_findinfo_ML___2012___335</w:t>
      </w:r>
    </w:p>
    <w:p>
      <w:r>
        <w:t>FR: VD_FINDINFO ML / 2012 / 335 du 20 décembre 2012</w:t>
      </w:r>
    </w:p>
    <w:p>
      <w:r>
        <w:t>IT: VD_FINDINFO ML / 2012 / 335 del 20 dicembre 2012</w:t>
      </w:r>
    </w:p>
    <w:p>
      <w:pPr>
        <w:pStyle w:val="Heading2"/>
      </w:pPr>
      <w:r>
        <w:t>Regeste</w:t>
      </w:r>
    </w:p>
    <w:p>
      <w:r>
        <w:t>DÉCISION EXÉCUTOIRE, AUTORITÉ ADMINISTRATIVE, NOTIFICATION DE LA DÉCISION, NOTIFICATION IRRÉGULIÈRE, MAINLEVÉE DÉFINITIVE | 80 LP, 138 CPC (CH)</w:t>
      </w:r>
    </w:p>
    <w:p>
      <w:pPr>
        <w:pStyle w:val="Heading2"/>
      </w:pPr>
      <w:r>
        <w:t>Erwägungen</w:t>
      </w:r>
    </w:p>
    <w:p>
      <w:r>
        <w:rPr>
          <w:b/>
        </w:rPr>
        <w:t>E. 11</w:t>
      </w:r>
    </w:p>
    <w:p>
      <w:r>
        <w:t>janvier 2012 ne saurait en aucun cas être déduite du comportement procédural de F.________. Il ne se justifie pas, toutefois, de rejeter le recours pour ce motif. En effet, ce serait faire supporter au poursuivant le fait que l'on ignore si le poursuivi a effectivement été interpellé ou non, ce qui serait indéfendable. En l'état actuel de la jurisprudence cantonale, comme on l'a vu, il est admis que le poursuivi reconnaît implicitement avoir reçu une décision administrative, s'il reste inactif durant la procédure de mainlevée. Encore faut-il être certain que l'intéressé ait bien été interpellé. Si tel n'est pas le cas, comme en l'espèce, il n'y a pas d'autre solution que d'annuler le prononcé. III. Le recours doit donc être admis et le prononcé annulé, la cause étant renvoyée devant le premier juge pour qu'il statue à nouveau après avoir dûment convoqué, ou interpellé, les parties. Il n'est pas perçu de frais de deuxième instance (art. 107 al. 2 CPC),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