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 vom 29. März 2012</w:t>
      </w:r>
    </w:p>
    <w:p>
      <w:r>
        <w:t>VD Tribunal cantonal, 2012-03-29, FR</w:t>
      </w:r>
    </w:p>
    <w:p>
      <w:r>
        <w:rPr>
          <w:b/>
        </w:rPr>
        <w:t xml:space="preserve">Quelle: </w:t>
      </w:r>
      <w:r>
        <w:t>https://mcp.opencaselaw.ch/entscheid/vd_findinfo_ML___2012___31</w:t>
      </w:r>
    </w:p>
    <w:p>
      <w:r>
        <w:t>FR: VD_FINDINFO ML / 2012 / 31 du 29 mars 2012</w:t>
      </w:r>
    </w:p>
    <w:p>
      <w:r>
        <w:t>IT: VD_FINDINFO ML / 2012 / 31 del 29 marzo 2012</w:t>
      </w:r>
    </w:p>
    <w:p>
      <w:pPr>
        <w:pStyle w:val="Heading2"/>
      </w:pPr>
      <w:r>
        <w:t>Regeste</w:t>
      </w:r>
    </w:p>
    <w:p>
      <w:r>
        <w:t>MAINLEVÉE PROVISOIRE | 82 LP</w:t>
      </w:r>
    </w:p>
    <w:p>
      <w:pPr>
        <w:pStyle w:val="Heading2"/>
      </w:pPr>
      <w:r>
        <w:t>Erwägungen</w:t>
      </w:r>
    </w:p>
    <w:p>
      <w:r>
        <w:rPr>
          <w:b/>
        </w:rPr>
        <w:t>E. 9</w:t>
      </w:r>
    </w:p>
    <w:p>
      <w:r>
        <w:t>fr. 90 de moins que les 4'138 fr. 20 dus.  Selon l'art. 58 al. 1 CPC, le tribunal ne peut accorder à une partie plus que ce qu'elle a demandé. Le montant était payable au 1 er juillet 2010, les intérêts moratoires sont dès lors dus dès le lendemain de cette date (art. 102 al. 2 et 104 CO [Code des obligations du 30 mars 1911; RS 220]). Il y a donc lieu de prononcer la mainlevée de l'opposition pour 4'128 francs 30 et 4'950 fr., soit 9'078 fr. 30 au total, avec intérêt moratoire à 5% l'an dès le 2 juillet 2010. e) Il sied ici de s'assurer que les copropriétaires du lot [...] de la Commune de Montreux, soit l'intimé et B.R.________, sont solidairement responsables du paiement des charges de la PPE. Selon l'art. 143 CO, il y a solidarité entre plusieurs débiteurs lorsque ceux-ci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 4 août 1994/479), Ainsi, la solidarité ne se présume jamais;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Traité des obligations en droit suisse, p. 837). Ces circonstances doivent être interprétées d'après le principe de la confiance, mais elles doivent être indubitables (ATF 123 III 53 c. 5a,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c. 3, RVJ 1992 p. 346 c. 3). Ainsi, la jurisprudence a retenu la solidarité passive entre des époux débiteurs de factures relatives à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 citées aux notes infrapaginales nn. 19 à 21). La cour de céans (CPF, 12 mars 2009/87) a retenu la solidarité dans le cas de l'achat d'un immeuble en copropriété par deux sociétés; elle a estimé que les deux acheteuses formaient une société simple. En l'espèce, il ressort de l'extrait du registre foncier produit par la poursuivante et de la réponse de l'intimé au recours que ce dernier et B.R.________ sont mariés et vivent ensemble dans l'immeuble concerné. Conjoints et copropriétaires d'une part de la PPE dans laquelle ils sont tous deux domiciliés, ils doivent ainsi être considérés comme débiteurs solidaires des charges de la PPE. III. a) L'intimé ne conteste pas être débiteur des charges de la PPE mais expose avoir dû "surseoir temporairement à cette obligation" parce que la recourante ne respecterait pas une de ses obligations, prévue à l'art. 8 du règlement de copropriété, savoir celle d'assurer les parties communes du bâtiment contre les dégâts d'eau. Rien dans ce règlement ou dans le procès-verbal d'assemblée des copropriétaires du 18 mai 2010 ne permet de lier ces deux obligations. En conséquence, l'intimé ne peut pas soumettre sa participation aux charges à la condition que la PPE respecte une autre de ses obligations. b) L'intimé allègue en outre avoir subi un dommage et ouvert action contre la recourante le 29 juillet 2011. On pourrait comprendre qu'il sous-entend avoir une créance à opposer en compensation à celle en poursuite. Cependant, une telle créance n'étant absolument pas rendue vraisemblable, elle ne saurait justifier un refus de mainlevée. IV. Le recours doit ainsi être admis partiellement dans le sens des considérants qui précèdent. La recourante obtient ainsi gain de cause, sauf sur la question du point de départ des intérêts moratoires. Les frais judiciaires de première instance, arrêtés à 210 fr., sont mis à la charge du poursuivi (art. 106 al. 1 CPC). Ce dernier doit verser à la poursuivante, assistée d'un conseil, la somme de 810 fr. à titre de dépens et de restitution d'avance de frais de première instance. Les frais judiciaires de deuxième instance, arrêtés à 450 fr., sont mis à la charge de l'intimé. Celui-ci doit verser à la recourante, assistée d'un conseil, la somme de 1'350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