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30 vom 13. März 2012</w:t>
      </w:r>
    </w:p>
    <w:p>
      <w:r>
        <w:t>VD Tribunal cantonal, 2012-03-13, FR</w:t>
      </w:r>
    </w:p>
    <w:p>
      <w:r>
        <w:rPr>
          <w:b/>
        </w:rPr>
        <w:t xml:space="preserve">Quelle: </w:t>
      </w:r>
      <w:r>
        <w:t>https://mcp.opencaselaw.ch/entscheid/vd_findinfo_ML___2012___30</w:t>
      </w:r>
    </w:p>
    <w:p>
      <w:r>
        <w:t>FR: VD_FINDINFO ML / 2012 / 30 du 13 mars 2012</w:t>
      </w:r>
    </w:p>
    <w:p>
      <w:r>
        <w:t>IT: VD_FINDINFO ML / 2012 / 30 del 13 marzo 2012</w:t>
      </w:r>
    </w:p>
    <w:p>
      <w:pPr>
        <w:pStyle w:val="Heading2"/>
      </w:pPr>
      <w:r>
        <w:t>Regeste</w:t>
      </w:r>
    </w:p>
    <w:p>
      <w:r>
        <w:t>RECONNAISSANCE DE LA DÉCISION, MAINLEVÉE DÉFINITIVE, COMPÉTENCE, COMPÉTENCE RATIONE MATERIAE | 81 LP</w:t>
      </w:r>
    </w:p>
    <w:p>
      <w:pPr>
        <w:pStyle w:val="Heading2"/>
      </w:pPr>
      <w:r>
        <w:t>Erwägungen</w:t>
      </w:r>
    </w:p>
    <w:p>
      <w:r>
        <w:rPr>
          <w:b/>
        </w:rPr>
        <w:t>E. 28</w:t>
      </w:r>
    </w:p>
    <w:p>
      <w:r>
        <w:t>février 2011, obligerait le juge à statuer une nouvelle fois, dès lors que, conformément aux considérations de la Chambre des recours, il s'est déjà prononcé sur l'ensemble des conclusions de la requête de mainlevée. L'arrêt du 28 février 2011 peut donc rester sans portée à cet égard. c) La requérante, déboutée, n’a pas contesté le prononcé du juge de paix dont les motifs lui ont pourtant été notifiés postérieurement à l’arrêt de la Chambre des recours. Il lui était pourtant loisible de le faire, si elle estimait avoir été induite en erreur par les circonstances. Elle ne prétend pas, par exemple, avoir renoncé à produire devant le juge de paix des pièces en raison de la procédure pendante devant le tribunal d'arrondissement. Le motif retenu à l’appui du rejet de la requête est le même que celui de la Présidente du tribunal d'arrondissement, ce qui démontre que la requérante n’a pas produit d’autres pièces. Il est significatif à cet égard que, dans la présente procédure, la recourante n'explique nullement pour quelles raisons elle a renoncé à recourir contre le prononcé du 14 janvier 2011. Dans son dernier considérant, relatif à la question des frais et dépens, la Chambre des recours a relevé que la recourante était à l'origine de l'erreur de compétence, lui refusant pour ce motif de lui allouer un montant à ce titre. C'est le lieu de rappeler que la recourante était assistée d'un avocat, lequel ne pouvait ignorer qu'en matière de reconnaissance de jugements comportant une condamnation au paiement d’une somme d’argent, c’est le juge de la mainlevée qui est compétent, l’examen de cette question se faisant incidemment dans le cadre de la procédure de mainlevée, et que, d'autre part, dans le canton de Vaud cette compétence était dévolue au juge de paix. III. En définitive, le recours doit être rejeté et la décision confirmée. Les frais judiciaires de deuxième instance, arrêtés à 450 fr, doivent être mis à la charge de la recourante. Il n'est pas alloué de dépens à l'intimé qui a procédé sans l'aide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