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295 vom 30. November 2012</w:t>
      </w:r>
    </w:p>
    <w:p>
      <w:r>
        <w:t>VD Tribunal cantonal, 2012-11-30, FR</w:t>
      </w:r>
    </w:p>
    <w:p>
      <w:r>
        <w:rPr>
          <w:b/>
        </w:rPr>
        <w:t xml:space="preserve">Quelle: </w:t>
      </w:r>
      <w:r>
        <w:t>https://mcp.opencaselaw.ch/entscheid/vd_findinfo_ML___2012___295</w:t>
      </w:r>
    </w:p>
    <w:p>
      <w:r>
        <w:t>FR: VD_FINDINFO ML / 2012 / 295 du 30 novembre 2012</w:t>
      </w:r>
    </w:p>
    <w:p>
      <w:r>
        <w:t>IT: VD_FINDINFO ML / 2012 / 295 del 30 novembre 2012</w:t>
      </w:r>
    </w:p>
    <w:p>
      <w:pPr>
        <w:pStyle w:val="Heading2"/>
      </w:pPr>
      <w:r>
        <w:t>Regeste</w:t>
      </w:r>
    </w:p>
    <w:p>
      <w:r>
        <w:t>MAINLEVÉE DÉFINITIVE, TITRE DE MAINLEVÉE, NOTIFICATION DE LA DÉCISION, NOTIFICATION IRRÉGULIÈRE, AUTORITÉ ADMINISTRATIVE | 80 LP</w:t>
      </w:r>
    </w:p>
    <w:p>
      <w:pPr>
        <w:pStyle w:val="Heading2"/>
      </w:pPr>
      <w:r>
        <w:t>Erwägungen</w:t>
      </w:r>
    </w:p>
    <w:p>
      <w:r>
        <w:rPr>
          <w:b/>
        </w:rPr>
        <w:t>E. 2</w:t>
      </w:r>
    </w:p>
    <w:p>
      <w:r>
        <w:t>LP, ce qui suppose qu’elle ait été notifiée au poursuivi, avec indication des voie et délai de recours et que le recourant n’ait pas fait usage de son droit de recours ou que son recours ait été définitivement écarté ou rejeté (Gilliéron, Commentaire de la loi fédérale sur la poursuite pour dettes et la faillite, n. 12 ad art. 81 LP ; Gilliéron, Les garanties de procédure dans l'exécution forcée ayant pour objet une somme d'argent ou des sûretés à fournir – Le cas des prétentions de droit public, in SJ 2003 pp. 361 ss, sp. pp. 365-366). La preuve de la notification incombe à l’autorité poursuivante. Cette preuve sera suffisamment rapportée par la production d’un accusé de réception ou de la formule du récépissé postal de l’envoi recommandé, ou encore de l’aveu du poursuivi, soit figurant sur la correspondance échangée, soit constaté dans le prononcé du juge de première instance compétent en matière de mainlevée (Rigot, Le recouvrement forcé des créances de droit public selon le droit de poursuite pour dettes et la faillite, thèse 1991, pp. 154-155). b) A l'appui de son recours, le recourant cite un arrêt de la cour de céans (CPF, 16 novembre 2006/557), selon lequel il importe peu que la décision soit postérieure à la réquisition de poursuite et qu’il suffit qu’elle soit exécutoire au moment de la requête de mainlevée. Aux termes de l'art. 44 al. 1 LPA (loi vaudoise sur la procédure administrative; RSV 173.36), les décisions sont en principe notifiées à leurs destinataires sous pli recommandé ou par acte judiciaire. En l'espèce, la décision du 24 janvier 2012 a été adressée par courrier recommandé, le même jour, au poursuivi. L'enveloppe ayant contenu ce pli est revenue à son expéditeur avec la mention "non réclamé" de sorte que la décision n'a pas été notifiée à l'intimé. Pour cette raison, la mainlevée de l'opposition ne peut être prononcée. De plus, le débiteur s'étant vu notifier un commandement de payer ne doit pas s'attendre à recevoir une décision validant a posteriori la créance en poursuite (Bohnet, Code de procédure civile commenté, n. 27 ad art. 138 CPC, l'art. 138 CPC reprenant un principe général). En conséquence, la condition de notification de la décision du 24 janvier 2012 n'est pas remplie par la notification préalable d'un commandement de payer, ce dernier mentionnant par ailleurs un autre titre comme fondant la créance. IV. En conséquence, le recours doit être rejeté et le prononcé confirmé. Les frais judiciaires de deuxième instance, arrêtés à 135 fr., sont mis à la charge du recourant qui succombe (art. 106 al. 1 CPC). Il n'est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