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2012 / 288 vom 27. November 2012</w:t>
      </w:r>
    </w:p>
    <w:p>
      <w:r>
        <w:t>VD Tribunal cantonal, 2012-11-27, FR</w:t>
      </w:r>
    </w:p>
    <w:p>
      <w:r>
        <w:rPr>
          <w:b/>
        </w:rPr>
        <w:t xml:space="preserve">Quelle: </w:t>
      </w:r>
      <w:r>
        <w:t>https://mcp.opencaselaw.ch/entscheid/vd_findinfo_ML___2012___288</w:t>
      </w:r>
    </w:p>
    <w:p>
      <w:r>
        <w:t>FR: VD_FINDINFO ML / 2012 / 288 du 27 novembre 2012</w:t>
      </w:r>
    </w:p>
    <w:p>
      <w:r>
        <w:t>IT: VD_FINDINFO ML / 2012 / 288 del 27 novembre 2012</w:t>
      </w:r>
    </w:p>
    <w:p>
      <w:pPr>
        <w:pStyle w:val="Heading2"/>
      </w:pPr>
      <w:r>
        <w:t>Regeste</w:t>
      </w:r>
    </w:p>
    <w:p>
      <w:r>
        <w:t>MAINLEVÉE PROVISOIRE, BAIL À LOYER, FORMULE OFFICIELLE, LOGEMENT DE LUXE | 82 LP</w:t>
      </w:r>
    </w:p>
    <w:p>
      <w:pPr>
        <w:pStyle w:val="Heading2"/>
      </w:pPr>
      <w:r>
        <w:t>Erwägungen</w:t>
      </w:r>
    </w:p>
    <w:p>
      <w:r>
        <w:rPr>
          <w:b/>
        </w:rPr>
        <w:t>E. 2</w:t>
      </w:r>
    </w:p>
    <w:p>
      <w:r>
        <w:t>CO et qu'en conséquence, son opposition doit être maintenue, la poursuivante n'ayant pas produit, à l'appui de sa requête de mainlevée, de formule officielle. c) Dans un arrêt du 16 mars 2004, le Tribunal fédéral a précisé ce qui suit concernant le caractère luxueux d'un logement au sens de l'art. 253b al. 2 CO (TF 4C/2004 paru à la SJ 2004 I 385): "4.1 [...] Le nombre minimum de pièces et le caractère luxueux du logement constituent des conditions cumulatives pur l'exclusion des dispositions concernant les loyers abusifs (Lachat, Commentaire romand, art. 253b CO no 5; Weber, Commentaire bâlois, art. 253a/253b CO no 7; Higi, Commentaire zurichois, art. 253a-253b CO no 66). [...] 4.2 La notion de "luxe" doit s'interpréter de manière restrictive; elle suppose que la mesure habituelle du confort soit clairement dépassée, l'impression générale étant décisive à cet égard (consid. 3 non publié de l'ATF 123 III 317; Lachat, Commentaire romand, op. cit., art. 253b CO no 5; Weber, op. cit., art. 253a/253b CO no 7; Higi, op. cit., art. 253a-253b no 75; SVIT-Kommentar Mietrecht II, 2e éd. Zurich 1998, art. 253b CO no 4). Constituent, par exemple, des indices de luxe la présence de marbre à l'entrée de l'immeuble, une piscine et/ou un sauna, des sanitaires en surnombre, une surface totale et des pièces particulièrement grandes, un jardin spacieux, un environnement très protégé. La présence d'un seul ou de quelques-uns seulement de ces indices ne suffit pas; il faut que le luxe se dégage de l'ensemble (Lachat, Le bail à loyer, op. cit., p. 80 no 4.2.6; Higi, op. cit., art. 253a-253b CO no 76). Une construction ancienne, qui offre un niveau de confort certes inférieur aux maisons modernes, mais qui possède une valeur historique en faisant un objet exceptionnel se trouvant rarement sur le marché de la location peut aussi entrer dans la catégorie des logements de luxe. Les caractéristiques propres à ce type de construction et qui en font l'exclusivité, à savoir l'attrait historique et l'intérêt architectural, tels des hauts plafonds, des moulures aux parois, des parquets anciens, etc., doivent être prises en compte lorsqu'il s'agit de déterminer si ce type d'habitation dégage une impression d'ensemble luxueuse (SVIT-Komm., op. cit., art. 253b CO no 9). Il faut également relever que la notion de luxe évolue avec le temps. Ainsi, un objet luxueux peut perdre cette qualité avec les années (cf. Lachat, Commentaire romand, op. cit., art. 253b CO no 5; du même auteur, Le bail à loyer, op. cit., p. 80 no 4.2.6) et, inversement, une habitation peut entrer dans la catégorie des objets de luxe selon les rénovations et les transformations qui y sont réalisées. Pour déterminer si l'art. 253b al. 2 CO est ou non applicable, il ne faut donc pas forcément se demander si le bien immobilier pouvait être qualifié de luxueux au début du bail, mais il faut examiner si l'habitation possède une telle caractéristique au moment où cet élément est propre à exercer une influence. Il en découle qu'il n'est pas possible de donner une définition générale et abstraite d'un logement de luxe, car l'impression d'ensemble déterminante va dépendre d'un examen concret de toutes les caractéristiques du logement en cause (Higi, op. cit., art. 253a-253b CO no 74) à un moment donné. Cette matière relève donc avant tout du pouvoir d'appréciation du juge (SVIT-Komm., op. cit., art. 253b CO no 4). Conformément à sa pratique, le Tribunal fédéral ne substitue, dans ce cas, sa propre appréciation à celle de l'instance inférieure qu'avec une certaine retenue et n'intervient que si celle-ci a abusé de son pouvoir d'appréciation, c'est-à-dire si elle a retenu des critères inappropriés, si la décision rendue aboutit à un résultat manifestement injuste ou à une iniquité choquante (ATF 129 III 380 consid. 2, 664 consid. 6.1, 715 consid. 4.4 et les arrêts cités). [...]" En l'espèce, le critère du nombre de pièces est atteint. Quant au caractère luxueux de l'habitation, le bail désigne l'objet loué comme une "maison de maîtres (sic)". Le descriptif du bien, figurant dans les dispositions complémentaires, ne permet pas d'établir à lui seul son caractère luxueux. Cependant, l'alinéa 6 de ses dispositions signées par les locataires énonce expressément que l'immeuble loué est une maison familiale de luxe au sens de l'art. 253b al. 2 CO. Au stade de la mainlevée, cette mention, couverte par la signature du poursuivi, est décisive puisqu'il s'agit d'examiner si les documents produits constituent une reconnaissance de dette. Il convient dès lors de retenir que l'objet loué constitue bien un objet de luxe au sens de l'art. 253b al. 2 CO et que le bail vaut reconnaissance de dette dans la poursuite litigieuse. Les pièces produites par le recourant n'ont pas d'effet concernant cette qualification. Elles ne suffisent pas non plus à rendre vraisemblable l'existence de défaut de la chose louée. III. En définitive, le recours doit être rejeté et le prononcé confirmé. Les frais judiciaires de deuxième instance, arrêtés à 630 fr., sont mis à la charge du recourant qui succombe (art. 106 al. 1 CPC). Il doit en outre verser à l'intimée des dépens de deuxième instance, à hauteur de 750 fr. (art. 3 al. 1 et 13 TDC [Tarif des dépens en matière civile du 23 novembre 2010; RSV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