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279 vom 7. November 2012</w:t>
      </w:r>
    </w:p>
    <w:p>
      <w:r>
        <w:t>VD Tribunal cantonal, 2012-11-07, FR</w:t>
      </w:r>
    </w:p>
    <w:p>
      <w:r>
        <w:rPr>
          <w:b/>
        </w:rPr>
        <w:t xml:space="preserve">Quelle: </w:t>
      </w:r>
      <w:r>
        <w:t>https://mcp.opencaselaw.ch/entscheid/vd_findinfo_ML___2012___279</w:t>
      </w:r>
    </w:p>
    <w:p>
      <w:r>
        <w:t>FR: VD_FINDINFO ML / 2012 / 279 du 7 novembre 2012</w:t>
      </w:r>
    </w:p>
    <w:p>
      <w:r>
        <w:t>IT: VD_FINDINFO ML / 2012 / 279 del 7 novembre 2012</w:t>
      </w:r>
    </w:p>
    <w:p>
      <w:pPr>
        <w:pStyle w:val="Heading2"/>
      </w:pPr>
      <w:r>
        <w:t>Regeste</w:t>
      </w:r>
    </w:p>
    <w:p>
      <w:r>
        <w:t>DÉCISION D'IRRECEVABILITÉ, MEILLEURE FORTUNE | 265a al. 1 LP</w:t>
      </w:r>
    </w:p>
    <w:p>
      <w:pPr>
        <w:pStyle w:val="Heading2"/>
      </w:pPr>
      <w:r>
        <w:t>Erwägungen</w:t>
      </w:r>
    </w:p>
    <w:p>
      <w:r>
        <w:rPr>
          <w:b/>
        </w:rPr>
        <w:t>E. 11</w:t>
      </w:r>
    </w:p>
    <w:p>
      <w:r>
        <w:t>avril 1889; RS 281.1), lorsque le débiteur fait opposition à la poursuite en contestant son retour à meilleure fortune, cette opposition est soumise au juge du for de la poursuite, dont la décision, qu'il déclare l'opposition recevable ou irrecevable, n'est sujette à aucun recours (ATF 138 III 44; Huber, Basler Kommentar, n. 31 ad art. 265a LP), qu'en l'espèce, le prononcé attaqué indique de manière correcte qu'un recours peut être déposé contre la décision en ce qu'elle statue sur les frais, que le recours de J.________ ne porte pas sur la question des frais, qu'il est dès lors irrecevable; considérant que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