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277 vom 13. November 2012</w:t>
      </w:r>
    </w:p>
    <w:p>
      <w:r>
        <w:t>VD Tribunal cantonal, 2012-11-13, FR</w:t>
      </w:r>
    </w:p>
    <w:p>
      <w:r>
        <w:rPr>
          <w:b/>
        </w:rPr>
        <w:t xml:space="preserve">Quelle: </w:t>
      </w:r>
      <w:r>
        <w:t>https://mcp.opencaselaw.ch/entscheid/vd_findinfo_ML___2012___277</w:t>
      </w:r>
    </w:p>
    <w:p>
      <w:r>
        <w:t>FR: VD_FINDINFO ML / 2012 / 277 du 13 novembre 2012</w:t>
      </w:r>
    </w:p>
    <w:p>
      <w:r>
        <w:t>IT: VD_FINDINFO ML / 2012 / 277 del 13 novembre 2012</w:t>
      </w:r>
    </w:p>
    <w:p>
      <w:pPr>
        <w:pStyle w:val="Heading2"/>
      </w:pPr>
      <w:r>
        <w:t>Regeste</w:t>
      </w:r>
    </w:p>
    <w:p>
      <w:r>
        <w:t>MAINLEVÉE DÉFINITIVE, OBLIGATION D'ENTRETIEN, INSTRUCTION ET FORMATION PROFESSIONNELLE, RENTE POUR ENFANT | 277 CC, 80 LP</w:t>
      </w:r>
    </w:p>
    <w:p>
      <w:pPr>
        <w:pStyle w:val="Heading2"/>
      </w:pPr>
      <w:r>
        <w:t>Erwägungen</w:t>
      </w:r>
    </w:p>
    <w:p>
      <w:r>
        <w:rPr>
          <w:b/>
        </w:rPr>
        <w:t>E. 19</w:t>
      </w:r>
    </w:p>
    <w:p>
      <w:r>
        <w:t>décembre 2008; RS 272). Ecrit et motivé, il est recevable à la forme (art. 321 al. 1 CPC). En revanche, la pièce produite par l'intimé, qui ne figure pas au dossier de première instance, est irrecevable, l'art. 326 CPC prohibant la production de pièces nouvelles. II. a) Aux termes de l’art. 80 al. 1 LP, le créancier qui est au bénéfice d’un jugement exécutoire peut requérir du juge la mainlevée définitive de l'opposition. l’opposition. Sont assimilées à des jugements, notamment les transactions ou reconnaissances passées en justice (art. 80 al. 2 ch. 1 LP). Le jugement définitif et exécutoire rendu par un juge civil sur une créance en argent est le titre exemplaire de la mainlevée définitive (Panchaud/Caprez, La mainlevée d’opposition, § 99 ch. II). Le juge de la mainlevée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relatives à l’existence matérielle de la créance (ATF 113 III 6, JT 1989 II 70). b) En l'espèce, la créance en poursuite est une contribution d'entretien fixée en faveur de l'intimé, né le 22 mai 1992, dans la convention signée par ses parents le 1 er décembre 2008, ratifiée pour valoir jugement de modification de jugement de divorce. Cette convention a les effets d'une décision entrée en force (art. 241 al. 2 CPC) et vaut donc en principe titre à la mainlevée définitive. c) 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 la majorité, en effet, l'obligation d'entretien "ordinaire" cesse (art. 277 al. 1 CC) et au-delà de ce seuil, cette obligation revêt un caractère "extraordinaire", en ce sens qu'elle est soumise aux conditions particulières fixées par l'art. 277 al. 2 CC (Meier/Stettler, op. cit., n. 1074, p. 619; cf. aussi Piotet, Commentaire romand, n. 6 ad art. 277 CC).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rés. in JT 2004 II 134). Autre est la situation où le jugement de divorce indique clairement et sans réserve que le père contribuera à l'entretien de son fils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8 février 2007/26). d) En l'espèce, la convention du 1 er décembre 2008 précise que l'obligation d'entretien, chiffrée à 800 fr., dure " jusqu'à la majorité de l'enfant ou la fin de ses études, l'art. 277 al. CC étant réservé". Cette formulation inclut certes la réserve de l'art. 277 al. 2 CC, mais indique clairement l'obligation pour l'intimé de verser la contribution jusqu'à la fin des études du crédirentier. Cette obligation figurait d'ailleurs expressément dans la convention sur les effets accessoires du divorce prononcé le 5 mars 2004  qui indique que la contribution est due "jusqu'à sa majorité, son indépendance financière ou la fin de ses études dans des délais normaux, mais au plus tard jusqu'à l'âge de 25 ans révolus". On ne se trouve dès lors pas dans le cas de la simple réserve d'une hypothèse, mais bien dans celui d'en engagement pris par l'intimé et ratifié par le juge. On relèvera en outre, que dans la mesure où la convention du 1 er décembre 2008 devait être interprétée en fonction du jugement de divorce du 5 mars 2004, les conditions figurant dans celui-ci sont bien réalisées en l'espèce. L'intimé avait dix-neuf ans durant la période concernée (janvier à mai 2011) et ses études, entreprises à l'âge de dix-huit ans se déroulaient dans un délai raisonnable. Enfin, la question de l'absence de relations personnelles entre le débirentier et son fils n'a pas à être examinée dans le cadre de l'obligation telle que définie ci-dessus. Il s'ensuit que la convention du 1 er décembre 2008 vaut titre de mainlevée pour le montant de 4'000 fr., représentant la contribution due pour les mois de janvier à mai 2011, ainsi que pour l'intérêt dû dès l'échéance moyenne du 15 mars 2011. III. En définitive le recours doit être rejeté et le prononcé confirmé. Les frais judiciaires de deuxième instance, arrêtés à 315 fr., doivent être mis à la charge du recourant. Ce dernier devra en outre verser à l'intimé la somme de 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