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237 vom 15. Oktober 2012</w:t>
      </w:r>
    </w:p>
    <w:p>
      <w:r>
        <w:t>VD Tribunal cantonal, 2012-10-15, FR</w:t>
      </w:r>
    </w:p>
    <w:p>
      <w:r>
        <w:rPr>
          <w:b/>
        </w:rPr>
        <w:t xml:space="preserve">Quelle: </w:t>
      </w:r>
      <w:r>
        <w:t>https://mcp.opencaselaw.ch/entscheid/vd_findinfo_ML___2012___237</w:t>
      </w:r>
    </w:p>
    <w:p>
      <w:r>
        <w:t>FR: VD_FINDINFO ML / 2012 / 237 du 15 octobre 2012</w:t>
      </w:r>
    </w:p>
    <w:p>
      <w:r>
        <w:t>IT: VD_FINDINFO ML / 2012 / 237 del 15 ottobre 2012</w:t>
      </w:r>
    </w:p>
    <w:p>
      <w:pPr>
        <w:pStyle w:val="Heading2"/>
      </w:pPr>
      <w:r>
        <w:t>Regeste</w:t>
      </w:r>
    </w:p>
    <w:p>
      <w:r>
        <w:t>DROIT D'ÊTRE ENTENDU, PRÉSOMPTION IRRÉFRAGABLE, NOTIFICATION PAR HUISSIER, FRAIS JUDICIAIRES, ÉQUITÉ, NULLITÉ | 16 al. 1 LP, 84 al. 2 LP, 107 al. 2 CPC (CH), 138 CPC (CH), 253 CPC (CH), 320 let. a CPC (CH), 327 al. 3 let. a CPC (CH), 53 al. 1 CPC (CH)</w:t>
      </w:r>
    </w:p>
    <w:p>
      <w:pPr>
        <w:pStyle w:val="Heading2"/>
      </w:pPr>
      <w:r>
        <w:t>Erwägungen</w:t>
      </w:r>
    </w:p>
    <w:p>
      <w:r>
        <w:rPr>
          <w:b/>
        </w:rPr>
        <w:t>E. 2</w:t>
      </w:r>
    </w:p>
    <w:p>
      <w:r>
        <w:t>Par acte motivé déposé le 10 février 2012, P.________, indiquant avoir fait l'objet de saisies exécutées les 18 et 25 janvier 2012, a recouru notamment contre le prononcé de mainlevée "KC11.034334", concluant à l'annulation de la saisie et à ce qu'ordre soit donné au premier juge de motiver sa décision. Par décision du 28 février 2012, le président de la cour de céans a accordé d'office l'effet suspensif. L'intimé, soit son représentant, ne s'est pas déterminé sur le recours dans le délai qui lui a été imparti à cet effet. En droit : I. Le recours est écrit et motivé (art. 321 al. 1 CPC [Code de procédure civile; RS 272]) et contient des conclusions tendant à l'annulation de la saisie, qui n'est pas de la compétence de la cour de céans, et à ce que le premier juge motive sa décision. Cette deuxième conclusion est recevable (sur l'exigence des conclusions : cf. Jeandin, CPC commenté, n. 5 ad art. 321 CPC; Freiburghaus/ Afheldt, ZPO Kommentar, n. 14 ad art. 321 CPC; ATF 137 III 617 c. 4, rés. in JT 2012 I 373). Pour les motifs exposés ci-après, la fiction de la notification à l'échéance du délai de garde postal est inopérante en l'espèce, de sorte que le dispositif du prononcé attaqué n'a jamais été notifié régulièrement à la poursuivie et que le délai pour le contester n'a pas commencé à courir. Le délai de dix jours de l'art. 321 al. 2 CPC a ainsi été respecté. Dans la mesure définie au début de ce considérant, le recours est recevable. II. a) Depuis l'entrée en vigueur du CPC, le 1 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En procédure de mainlevée également, l'art. 84 al. 2 in initio LP prévoit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CPC commenté, nn. 1 à 5 ad art. 53 CPC; Bohnet, CPC commenté, n. 2 ad art. 253 CPC; Chevallier, ZPO Kommentar, n. 1 ad art. 253 CPC). En l'espèce, le premier juge a adressé à la poursuivie un pli recommandé pour lui notifier la requête de mainlevée et lui fixer un délai pour se déterminer. L'intéressée n'a toutefois pas retiré le pli dans le délai de garde postal. b) La décision par laquelle le juge opte pour une détermination orale ou une détermination écrite, et conséquemment renonce aux débats (art. 256 al. 1 CPC), est une ordonnance d'instruction au sens de l'art. 319 let. b CPC (Chevallier, op. cit., n. 1 in fine ad art. 253 CPC; Staehelin, op. cit., n. 41 ad art. 84 LP). Aux termes de l'art. 138 al. 1 CPC, les citations, les ordonnances et les décisions sont notifiées par envoi recommandé ou d'une autre manière contre accusé de réception. L'acte est réputé notifié lorsqu'il a été remis au destinataire, à un de ses employés ou à une personne de seize ans au moins vivant dans le même ménage, l'ordre donné par le tribunal de notifier l'acte au destinataire personnellement étant réservé (art. 138 al. 2 CPC). L'acte est en outre réputé notifié en cas d'envoi recommandé lorsque celui-ci n'a pas été retiré à l'expiration d'un délai de sept jours à compter de l'échec de la remise, si le destinataire devait s'attendre à recevoir la notification (art. 138 al. 3 let. a CPC).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s'agit-là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le pli contenant la convocation à l'audience et la requête de mainlevée, ou la requête seule avec délai pour se déterminer par écrit, n'a pas été retiré dans le délai de garde, il doit être notifié à nouveau d'une autre manière contre accusé de réception (art. 138 al. 1 CPC), soit notamment par huissier (Bohnet, op. cit., n. 31 ad art. 138 CPC; CPF, 11 juillet 2012/270; CPF, 16 mai 2012/214; CPF, 1 er février 2012/13). La cour de céans en avait jugé pareillement sous l'empire de l'ancien droit de procédure (CPF, 8 septembre 2011/375; CPF, 7 février 2011/37; CPF, 9 décembre 2010/470; CPF, 29 avril 2010/190 et les références citées.) c) En l'espèce, en ne permettant pas à la poursuivie de prendre concrètement connaissance de la requête de mainlevée, puis de s'exprimer à son sujet, le premier juge a violé le droit de cette partie d'être entendue, garanti par les art. 84 al. 2 LP ainsi que par les art. 53 et 253 CPC (CPF, 16 mai 2012/214 précité). Cette violation ne peut pas être réparée en deuxième instance car, en procédure de recours, le tribunal doit statuer sur un état de fait identique à celui examiné par le premier juge, l'instance de recours ayant pour mission de contrôler la conformité au droit de la décision attaquée, mais pas de poursuivre la procédure de première instance, si bien qu'à l'instar du Tribunal fédéral, le tribunal de deuxième instance doit contrôler la juste application du droit à un état de fait arrêté définitivement (Chaix, Introduction au recours de la nouvelle procédure civile fédérale, in SJ 2009 II 257 ss, n. 17, p. 267). Comme la partie recourante ne peut pas alléguer de faits nouveaux ni produire de nouvelles pièces ni prendre de nouvelles conclusions (art. 326 CPC), elle ne peut s'exprimer de la même manière que si elle avait pu le faire en première instance (Staehelin, op. cit., n. 41 ad art. 84 LP et la référence citée publiée in Rep. 1981 p. 393). d) Un jugement de mainlevée est nul quand le poursuivi n'a reçu ni la convocation à l'audience et la requête de mainlevée, ou la requête seule avec délai pour se déterminer par écrit, ni le jugement de mainlevée (ATF 102 III 133, rés. in JT 1978 II 62; CPF, 16 juin 2011/213 et les références citées). En effet, dans l'hypothèse où la partie poursuivie n'a pas eu connaissance d'une manière ou d'une autre de la procédure de mainlevée ni du prononcé rendu, elle ne peut pas recourir contre ce prononcé en soulevant le moyen tiré de l'assignation irrégulière (CPF, 25 juin 2009/193). Au demeurant, en pareil cas, la poursuite ne peut pas être continuée (TF 7B.153/2006 du 13 octobre 2006 c. 3.1). Selon la jurisprudence rendue sous l'égide de l'ancien droit de procédure, dans une telle situation, le prononcé devait être annulé d'office (CPF, 9 décembre 2010/470; CPF, 1 er juillet 2010/284). Cette jurisprudence reste applicable sous le nouveau droit (CPF, 11 juillet 2012/270 précité). En effet, le pouvoir d'examen en droit du juge saisi d'un recours au sens de l'art. 319 ss CPC est le même qu'en cas d'appel ordinaire (art. 308 ss CPC), donc en tous points similaires à celui du premier juge (Jeandin, op. cit., n. 2 ad art. 320 CPC). D'après la jurisprudence, la cour de céans est ainsi habilitée à constater la violation des règles de procédure civile sur l'assignation, même si le grief n'a pas été expressément soulevé (CPF, 11 juillet 2012/270 précité). Il y a donc lieu d'annuler d'office le prononcé de mainlevée attaqué. III. Vu ce qui précède, le recours doit être admis, le prononcé annulé et la cause renvoyée au premier juge pour qu'il fasse notifier la requête de mainlevée à la recourante et lui fixe un délai pour se déterminer. Les règles du CPC sont directement applicables aux décisions judiciaires en matière de droit de la poursuite pour dettes et la faillite, conformément à l'art. 1 let. c CPC, sous réserve de dispositions spéciales contraires de la LP. Ainsi, en matière d'émoluments – ou frais –, les montants sont fixés par l'Ordonnance sur les émoluments perçus en application de la LP [OELP; RS 281.35], en vertu de l'art. 16 al. 1 LP, à l'exclusion du Tarif des frais judiciaires civils [TFJC; RSV 270.11.5], mais les principes régissant la répartition des frais sont inscrits dans le CPC. L'OELP ne contient aucune disposition permettant au tribunal de renoncer à un émolument, mais, comme il s'agit d'une question de principe, l'art. 107 al. 2 CPC est applicable. Cette disposition prévoit que les frais judiciaires qui ne sont pas imputables aux parties peuvent être mis à la charge du canton si l'équité l'exige, en particulier lorsque le recours a été nécessaire pour corriger une erreur du juge dont on ne saurait tenir l'autre partie pour responsable (Tappy, CPC commenté, n. 37 ad art. 107 CPC et les références citées). Le présent arrêt peut dès lors être rendu sans frais (CPF, 21 décembre 2011/543; CPF, 16 novembre 2011/495). L'avance de frais, par 510 fr., effectuée par la recourante, doit par conséquent lui être restituée. En ce qui concerne les dépens, c'est le Tarif des dépens en matière civile [TDC; RSV 270.11.6] qui fixe les montants. Quant à la répartition de leur charge, l'art. 2 TDC renvoie aux art. 106 à 109 CPC. En règle générale, les dépens sont mis à la charge de la partie qui succombe, c'est-à-dire qui n'obtient pas gain de cause (art. 106 al. 1 CPC). En cas d'erreur du juge, on considère que "la faute du juge est celle de la partie", les dépens n'étant pas laissés à la charge de l'Etat qui n'est pas partie à la procédure (Tappy, op. cit., n. 35 ad art. 107 CPC). Sur le principe, la recourante aurait ainsi droit à des dépens, consistant en une indemnité pour le défraiement d'un représentant professionnel. Toutefois, elle a procédé sans l'assistance d'un tel représentant, de sorte qu'il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