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176 vom 20. Juli 2012</w:t>
      </w:r>
    </w:p>
    <w:p>
      <w:r>
        <w:t>VD Tribunal cantonal, 2012-07-20, FR</w:t>
      </w:r>
    </w:p>
    <w:p>
      <w:r>
        <w:rPr>
          <w:b/>
        </w:rPr>
        <w:t xml:space="preserve">Quelle: </w:t>
      </w:r>
      <w:r>
        <w:t>https://mcp.opencaselaw.ch/entscheid/vd_findinfo_ML___2012___176</w:t>
      </w:r>
    </w:p>
    <w:p>
      <w:r>
        <w:t>FR: VD_FINDINFO ML / 2012 / 176 du 20 juillet 2012</w:t>
      </w:r>
    </w:p>
    <w:p>
      <w:r>
        <w:t>IT: VD_FINDINFO ML / 2012 / 176 del 20 luglio 2012</w:t>
      </w:r>
    </w:p>
    <w:p>
      <w:pPr>
        <w:pStyle w:val="Heading2"/>
      </w:pPr>
      <w:r>
        <w:t>Regeste</w:t>
      </w:r>
    </w:p>
    <w:p>
      <w:r>
        <w:t>DROIT D'ÊTRE ENTENDU, DÉLAI, MAINLEVÉE DÉFINITIVE, DÉCISION DE RENVOI | 29 al. 2 Cst.</w:t>
      </w:r>
    </w:p>
    <w:p>
      <w:pPr>
        <w:pStyle w:val="Heading2"/>
      </w:pPr>
      <w:r>
        <w:t>Erwägungen</w:t>
      </w:r>
    </w:p>
    <w:p>
      <w:r>
        <w:rPr>
          <w:b/>
        </w:rPr>
        <w:t>E. 25</w:t>
      </w:r>
    </w:p>
    <w:p>
      <w:r>
        <w:t>juin 2012/234). Ainsi, en ignorant la demande du poursuivi visant à obtenir une prolongation du délai de déterminations, alors que l'art. 144 al. 2 CPC lui imposait de la trancher, le juge a violé son droit d'être entendu. IV. Le recours doit en définitive être admis. Le prononcé attaqué est annulé et le dossier renvoyé au premier juge afin qu'il procède conformément aux considérants qui précèdent. Les frais judiciaires de deuxième instance, arrêtés à 1'200 fr., sont laissés à la charge de l'Etat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