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2012 / 17 vom 13. Dezember 2011</w:t>
      </w:r>
    </w:p>
    <w:p>
      <w:r>
        <w:t>VD Tribunal cantonal, 2011-12-13, FR</w:t>
      </w:r>
    </w:p>
    <w:p>
      <w:r>
        <w:rPr>
          <w:b/>
        </w:rPr>
        <w:t xml:space="preserve">Quelle: </w:t>
      </w:r>
      <w:r>
        <w:t>https://mcp.opencaselaw.ch/entscheid/vd_findinfo_ML___2012___17</w:t>
      </w:r>
    </w:p>
    <w:p>
      <w:r>
        <w:t>FR: VD_FINDINFO ML / 2012 / 17 du 13 décembre 2011</w:t>
      </w:r>
    </w:p>
    <w:p>
      <w:r>
        <w:t>IT: VD_FINDINFO ML / 2012 / 17 del 13 dicembre 2011</w:t>
      </w:r>
    </w:p>
    <w:p>
      <w:pPr>
        <w:pStyle w:val="Heading2"/>
      </w:pPr>
      <w:r>
        <w:t>Regeste</w:t>
      </w:r>
    </w:p>
    <w:p>
      <w:r>
        <w:t>MAINLEVÉE DÉFINITIVE, MAINLEVÉE PROVISOIRE | 80 LP, 82 LP</w:t>
      </w:r>
    </w:p>
    <w:p>
      <w:pPr>
        <w:pStyle w:val="Heading2"/>
      </w:pPr>
      <w:r>
        <w:t>Erwägungen</w:t>
      </w:r>
    </w:p>
    <w:p>
      <w:r>
        <w:rPr>
          <w:b/>
        </w:rPr>
        <w:t>E. 10</w:t>
      </w:r>
    </w:p>
    <w:p>
      <w:r>
        <w:t>à 12 ad art. 81 LP). La question du caractère exécutoire du jugement doit être examinée d'office par le juge de la mainlevée (Gilliéron, op. cit., n. 22 ad art. 80 LP; CPF, B. c. B., 18 septembre 2008/441 et les références citées). En l'espèce, l’intimée a produit un procès-verbal d'une audience du Juge de paix du district de Lausanne au cours de laquelle les parties ont passé une transaction ainsi qu'un prononcé prenant acte de cette transaction pour valoir jugement définitif et exécutoire, adressé pour notification aux parties cinq jours plus tard. Ni l'un ni l'autre de ces documents ne mentionne que la transaction, ratifiée pour valoir jugement, n'avait pas fait l'objet d'un recours et était ainsi devenue définitive et exécutoire. D'après la jurisprudence rendue en application du code de procédure civile vaudois, applicable en l'espèce puisque les faits se sont déroulés avant le 31 décembre 2010, la décision prenant acte de la transaction constitue un jugement principal qui peut faire l'objet d'un recours en réforme ou en nullité (Poudret/Haldy/Tappy, Procédure civile vaudoise, n. 2 ad art. 158 CPC-VD; JT 1991 III 85 et les références citées). Il est notamment possible de recourir contre la décision d'enregistrer la transaction judiciaire et de radier la cause du rôle, lorsqu’un vice du consentement est invoqué et communiqué au juge avant que celui-ci ne prenne sa décision (Gillard, La transaction judiciaire en procédure civile, Etude de droit fédéral et de procédure civile vaudoise, thèse Lausanne 2003, p. 169). En ne produisant pas de document certifiant que ce prononcé n'avait pas fait l'objet d'un recours, l’intimée n'a pas apporté la preuve du caractère exécutoire du jugement sur lequel elle fonde sa poursuite. La mainlevée définitive de l’opposition aurait dû ainsi être rejetée par le premier juge (CPF, G. c. J. A. SA, 22 janvier 2009/11). b) Si la mainlevée définitive de l’opposition ne peut pas être prononcée, il convient d’examiner si la convention du 5 mars 2010, indépendamment de sa ratification judiciaire, peut valoir titre à la mainlevée provisoire de l’opposition. Selon l'art. 82 al. 1 LP, le créancier dont la poursuite se fonde sur une reconnaissance de dette constatée par acte authentique ou sous seing privé peut requérir la mainlevée provisoire de l'opposition au commandement de payer. Constitue une telle reconnaissance l'acte d'où résulte la volonté du poursuivi de payer au poursuivant une somme d'argent déterminée et échue, sans réserve ni condition (ATF 130 III 87, JT 2004 II 118; ATF 122 III 125, JT 1998 II 82; Panchaud/Caprez, op. cit., § 1; Gilliéron, op. cit., n. 29 ad art. 82 LP). En l’espèce, la convention du 5 mars 2010 vaut titre à la mainlevée provisoire de l’opposition au sens de l’art. 82 LP. En vertu de l'art. 82 al. 2 LP, le juge prononce la mainlevée provisoire de l'opposition, à moins que le débiteur ne rende vraisemblable sa libération. En l’espèce, les courriers produits par le recourant ne rendent vraisemblable aucune libération, puisqu’il s’agit de simples allégations. Il appartiendra dès lors au recourant de faire valoir d’éventuels moyens libératoires dans le cadre d’une action en libération de dette. III. Le recours doit en conséquence être partiellement admis, l’opposition étant provisoirement levée à concurrence de 9'000 fr. plus intérêt à 5 % l’an dès le 1 er avril 2010. Les frais de première instance, par 210 fr., sont mis à la charge du poursuivi qui remboursera ce montant à la poursuivante à titre de restitution d'avance de frais de première instance. Les frais de deuxième instance, arrêtés à 450 fr., sont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