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157 vom 9. Juli 2012</w:t>
      </w:r>
    </w:p>
    <w:p>
      <w:r>
        <w:t>VD Tribunal cantonal, 2012-07-09, FR</w:t>
      </w:r>
    </w:p>
    <w:p>
      <w:r>
        <w:rPr>
          <w:b/>
        </w:rPr>
        <w:t xml:space="preserve">Quelle: </w:t>
      </w:r>
      <w:r>
        <w:t>https://mcp.opencaselaw.ch/entscheid/vd_findinfo_ML___2012___157</w:t>
      </w:r>
    </w:p>
    <w:p>
      <w:r>
        <w:t>FR: VD_FINDINFO ML / 2012 / 157 du 9 juillet 2012</w:t>
      </w:r>
    </w:p>
    <w:p>
      <w:r>
        <w:t>IT: VD_FINDINFO ML / 2012 / 157 del 9 luglio 2012</w:t>
      </w:r>
    </w:p>
    <w:p>
      <w:pPr>
        <w:pStyle w:val="Heading2"/>
      </w:pPr>
      <w:r>
        <w:t>Regeste</w:t>
      </w:r>
    </w:p>
    <w:p>
      <w:r>
        <w:t>MAINLEVÉE PROVISOIRE, CLAUSE CONTRACTUELLE | 82 LP</w:t>
      </w:r>
    </w:p>
    <w:p>
      <w:pPr>
        <w:pStyle w:val="Heading2"/>
      </w:pPr>
      <w:r>
        <w:t>Erwägungen</w:t>
      </w:r>
    </w:p>
    <w:p>
      <w:r>
        <w:rPr>
          <w:b/>
        </w:rPr>
        <w:t>E. 25</w:t>
      </w:r>
    </w:p>
    <w:p>
      <w:r>
        <w:t>décembre 2010. L'application de l'art. 7 du contrat, que suggère le recourant, porterait donc sur la période de l'incapacité, qui a eu lieu pendant le premier trimestre de l'année 2010/2011. Or, en l'occurrence, seuls sont en poursuite les écolages dus pour le deuxième et le troisième trimestre de cette année. III. Le recours doit donc être rejeté et le prononcé confirmé, tant sous l'angle de l'art. 6 que de l'art. 7 du contrat signé par le recourant. Les frais de deuxième instance du recourant doivent être arrêtés à 405 francs. Il n'y a pas lieu d'allouer de dépens de deuxième instance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