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120 vom 1. Juni 2012</w:t>
      </w:r>
    </w:p>
    <w:p>
      <w:r>
        <w:t>VD Tribunal cantonal, 2012-06-01, FR</w:t>
      </w:r>
    </w:p>
    <w:p>
      <w:r>
        <w:rPr>
          <w:b/>
        </w:rPr>
        <w:t xml:space="preserve">Quelle: </w:t>
      </w:r>
      <w:r>
        <w:t>https://mcp.opencaselaw.ch/entscheid/vd_findinfo_ML___2012___120</w:t>
      </w:r>
    </w:p>
    <w:p>
      <w:r>
        <w:t>FR: VD_FINDINFO ML / 2012 / 120 du 1 juin 2012</w:t>
      </w:r>
    </w:p>
    <w:p>
      <w:r>
        <w:t>IT: VD_FINDINFO ML / 2012 / 120 del 1 giugno 2012</w:t>
      </w:r>
    </w:p>
    <w:p>
      <w:pPr>
        <w:pStyle w:val="Heading2"/>
      </w:pPr>
      <w:r>
        <w:t>Regeste</w:t>
      </w:r>
    </w:p>
    <w:p>
      <w:r>
        <w:t>MAINLEVÉE PROVISOIRE, TITRE DE MAINLEVÉE, VENTE, ERREUR ESSENTIELLE, VICE DU CONSENTEMENT | 23 CO, 24 CO, 82 al. 1 LP, 82 al. 2 LP</w:t>
      </w:r>
    </w:p>
    <w:p>
      <w:pPr>
        <w:pStyle w:val="Heading2"/>
      </w:pPr>
      <w:r>
        <w:t>Erwägungen</w:t>
      </w:r>
    </w:p>
    <w:p>
      <w:r>
        <w:rPr>
          <w:b/>
        </w:rPr>
        <w:t>E. 23</w:t>
      </w:r>
    </w:p>
    <w:p>
      <w:r>
        <w:t>ss CO, à défaut de quoi elle est sans effet et son auteur reste tenu intégralement par le contrat qu'il a signé.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 ème éd., nn. 782 et 799, pp. 169 et 172; Schmidlin, Commentaire romand, n. 1 ad art. 23-24 CO).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p. 173).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4C.335/2005 du 13 octobre 2006 précité c. 2.1; Tercier, op. cit., n. 800, p. 172). En outre, il appartient à celui qui se prévaut d'une erreur essentielle sur les faits de prouver – ou, au stade de la mainlevée, de rendre vraisemblable - qu'il considérait ceux-ci comme des éléments nécessaires du contrat et de démontrer qu'il était dans l'erreur à leur sujet (ATF 118 II 58 précité c. 3b, rés. in JT 1993 I 154; ATF 114 II 131 c. 2, JT 1988 I 508; Schmidlin, op. cit.,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op. cit., nn. 40 ss ad art. 23-24 CO; Engel, Traité des obligations en droit suisse, 2 ème éd., p. 329). En principe, l'erreur portant sur la valeur d'actions achetées en bourse ou dans des circonstances semblables n'est pas essentielle, pour le motif que la valeur de ces actions est souvent soumise à des fluctuations imprévisibles et qu'il appartient à l'acheteur d'en assumer le risque. En revanche, lorsque la vente porte sur la majorité ou l'intégralité du capital-actions, la situation économique de la société constitue un élément nécessaire du contrat et, de ce fait, l'acquéreur qui est victime d'une appréciation manifestement erronée du patrimoine social est habilité à invalider la vente (ATF 107 II 419, JT 1982 I 380; ATF 97 II 43, JT 1972 I 47; ATF 79 II 155, JT 1954 I 133; ATF 79 II 144, JT 1954 I 130;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En l’espèce, le préambule de la convention signée le 20 mai 2010 indique que l'intimé, acheteur, s'est vu remettre le bilan audité au 31 décembre 2008 de la société dont il entendait acquérir les actions ainsi que des comptes non audités pour l’année 2009, le bilan provisoire et les comptes au 31 mars 2010. Or, le bilan au 31 décembre 2008 présentait déjà une perte de près de 3'900'000 fr. et une perte d'exercice de près de 800'000 francs. La convention mentionnait en outre que la société avait encore des dettes pour plus de 200'000 fr. envers l’AVS ainsi que des dettes de loyers, ceux-ci n'étant payés que jusqu'à la fin du mois de mars 2010. Manifestement, la société ne se trouvait pas en bonne situation financière. On ne peut dès lors pas considérer que le poursuivi a rendu suffisamment vraisemblable s’être trouvé dans l’erreur lorsqu’il a conclu le contrat de vente, erreur dont il n’aurait pris conscience qu’à réception du rapport de l’organe de révision pour l’année 2009. Il ne ressort d'ailleurs pas des pièces produites qu'il aurait réagi à la réception de ce document. Le moyen libératoire du poursuivi aurait ainsi dû être écarté par le premier juge. c) La recourante réclame à l'intimé la somme de 200'000 fr., constitué des deux acomptes convenus restants non versés, avec intérêt à 5 % l’an dès le 30 septembre 2010. Toutefois, dans sa lettre de mise en demeure du 6 mai 2011, elle a indiqué  que des intérêts ne courraient qu’à partir de l’échéance du délai fixé à l'intimé pour s’exécuter, soit au 18 mai 2011, de sorte que l’intérêt moratoire à 5 % l’an ne peut être dû qu'à partir du 19 mai 2011. III. Vu ce qui précède, le recours doit être partiellement admis et le prononcé réformé en ce sens que l’opposition à la poursuite en cause est provisoirement levée à concurrence de 200'000 fr., plus intérêt à 5 % l’an dès le 19 mai 2011, et maintenue pour le surplus. Les frais judiciaires de première instance, arrêtés à 660 fr., compensés avec l'avance de frais de la poursuivante, sont mis à la charge du poursuivi, qui succombe et doit par conséquent verser à la poursuivante la somme de 3'660 fr. à titre de dépens et de restitution d'avance de frais de première instance. Les frais judiciaires de deuxième instance, arrêtés à 900 fr., compensés avec l'avance de frais de la recourante, sont mis à la charge de l’intimé, qui succombe et doit par conséquent verser à la recourante la somme de 2'100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