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 vom 9. Februar 2012</w:t>
      </w:r>
    </w:p>
    <w:p>
      <w:r>
        <w:t>VD Tribunal cantonal, 2012-02-09, FR</w:t>
      </w:r>
    </w:p>
    <w:p>
      <w:r>
        <w:rPr>
          <w:b/>
        </w:rPr>
        <w:t xml:space="preserve">Quelle: </w:t>
      </w:r>
      <w:r>
        <w:t>https://mcp.opencaselaw.ch/entscheid/vd_findinfo_ML___2012___12</w:t>
      </w:r>
    </w:p>
    <w:p>
      <w:r>
        <w:t>FR: VD_FINDINFO ML / 2012 / 12 du 9 février 2012</w:t>
      </w:r>
    </w:p>
    <w:p>
      <w:r>
        <w:t>IT: VD_FINDINFO ML / 2012 / 12 del 9 febbraio 2012</w:t>
      </w:r>
    </w:p>
    <w:p>
      <w:pPr>
        <w:pStyle w:val="Heading2"/>
      </w:pPr>
      <w:r>
        <w:t>Regeste</w:t>
      </w:r>
    </w:p>
    <w:p>
      <w:r>
        <w:t>PRÊT DE CONSOMMATION, MAINLEVÉE PROVISOIRE, RECONNAISSANCE DE DETTE, PRESCRIPTION, INTERRUPTION DU DÉLAI | 127 CO, 135 CO, 137 CO, 82 LP</w:t>
      </w:r>
    </w:p>
    <w:p>
      <w:pPr>
        <w:pStyle w:val="Heading2"/>
      </w:pPr>
      <w:r>
        <w:t>Erwägungen</w:t>
      </w:r>
    </w:p>
    <w:p>
      <w:r>
        <w:rPr>
          <w:b/>
        </w:rPr>
        <w:t>E. 2</w:t>
      </w:r>
    </w:p>
    <w:p>
      <w:r>
        <w:t>CO (Engel, Traité des obligations en droit suisse, p. 546). En l'espèce, la réquisition de poursuite n'ayant pas été produite, on ignore la date à laquelle la poursuite a été introduite. On sait en revanche que le commandement de payer a été établi le 11 mai 2010. En vertu de l'art. 69 al. 1 LP, dès réception de la réquisition de poursuite, l'office rédige le commandement de payer. Il faut déduire de cette disposition que l'établissement du commandement de payer doit se faire aussi vite que possible (Ruedin, CR, n. 8 ad art. 69 et n. 1 ad art. 71 LP). Si un certain laps de temps peut s'écouler entre la réception de la réquisition de poursuite et l'établisse-ment du commandement de payer, il est peu probable qu'il s'écoule plus d'un mois et demi. Il est donc vraisemblable que la réquisition de poursuite soit postérieure au mois de mars 2010. Dans ces circonstances, on doit admettre que la recourante a rendu vraisemblable qu'au moment de l'introduction de la présente poursuite, la dette était prescrite. III. Le recours doit donc être admis et le prononcé réformé en ce sens que l'opposition formée par N.________ au commandement de payer n° 5'402'754 de l'Office des poursuites du district d'Aigle, notifié à la réquisition de D.________, est maintenue. Les frais judiciaires de première instance, arrêtés à 150 fr., doivent être mis à la charge de la poursuivante. Il n'y a pas lieu d'allouer des dépens de première instance. Les frais judiciaires de deuxième instance, arrêtés  à 315 fr., doivent être mis à la charge de l'intimée, laquelle doit verser à la recourante la somme de 815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