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107 vom 24. Mai 2012</w:t>
      </w:r>
    </w:p>
    <w:p>
      <w:r>
        <w:t>VD Tribunal cantonal, 2012-05-24, FR</w:t>
      </w:r>
    </w:p>
    <w:p>
      <w:r>
        <w:rPr>
          <w:b/>
        </w:rPr>
        <w:t xml:space="preserve">Quelle: </w:t>
      </w:r>
      <w:r>
        <w:t>https://mcp.opencaselaw.ch/entscheid/vd_findinfo_ML___2012___107</w:t>
      </w:r>
    </w:p>
    <w:p>
      <w:r>
        <w:t>FR: VD_FINDINFO ML / 2012 / 107 du 24 mai 2012</w:t>
      </w:r>
    </w:p>
    <w:p>
      <w:r>
        <w:t>IT: VD_FINDINFO ML / 2012 / 107 del 24 maggio 2012</w:t>
      </w:r>
    </w:p>
    <w:p>
      <w:pPr>
        <w:pStyle w:val="Heading2"/>
      </w:pPr>
      <w:r>
        <w:t>Regeste</w:t>
      </w:r>
    </w:p>
    <w:p>
      <w:r>
        <w:t>CESSION DE CRÉANCE{CO}, CRÉDIT HYPOTHÉCAIRE, DROIT ACCESSOIRE, INTÉRÊT{FRUIT CIVIL}, AMORTISSEMENT{ÉCONOMIE}, PREUVE LIBÉRATOIRE, PREUVE FACILITÉE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Y.________ SA et la N.________. Par acte de cession du 4 mars 2010, cette dernière a cédé aux poursuivants V.________ et G.________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N.________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N.________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A.H.________, à V.________ et G.________, d'un montant de 606'116 francs 05, le 21 septembre 2010. Dans leur écriture du 9 juin 2011, les poursuivants admettent qu'un montant de 606'000 fr. en chiffres ronds a été payé par A.H.________, mais contestent que ce paiement puisse être porté en déduction du prêt consenti par la N.________.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A.H.________ – avait été réclamé non par les poursuivants, mais par la société T.________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Y.________ SA au commandement de payer n° 5'444'523 de l’Office des poursuites du district d’Aigle, qui lui a été notifié à la réquisition de V.________ et G.________, est maintenue. Les frais judiciaires de première instance, arrêtés à 210 fr., sont mis à la charge des poursuivants, solidairement entre eux. Ces derniers, solidairement entre eux, doivent en outre verser à la poursuivie la somme de 800 fr. à titre de dépens de première instance. Les frais de deuxième instance, arrêtés à 360 fr., sont mis à la charge des intimés, solidairement entre eux. Les intimés, solidairement entre eux, doivent verser à la recourante la somme de 960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