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 vom 1. Februar 2012</w:t>
      </w:r>
    </w:p>
    <w:p>
      <w:r>
        <w:t>VD Tribunal cantonal, 2012-02-01, FR</w:t>
      </w:r>
    </w:p>
    <w:p>
      <w:r>
        <w:rPr>
          <w:b/>
        </w:rPr>
        <w:t xml:space="preserve">Quelle: </w:t>
      </w:r>
      <w:r>
        <w:t>https://mcp.opencaselaw.ch/entscheid/vd_findinfo_ML___2012___10</w:t>
      </w:r>
    </w:p>
    <w:p>
      <w:r>
        <w:t>FR: VD_FINDINFO ML / 2012 / 10 du 1 février 2012</w:t>
      </w:r>
    </w:p>
    <w:p>
      <w:r>
        <w:t>IT: VD_FINDINFO ML / 2012 / 10 del 1 febbraio 2012</w:t>
      </w:r>
    </w:p>
    <w:p>
      <w:pPr>
        <w:pStyle w:val="Heading2"/>
      </w:pPr>
      <w:r>
        <w:t>Regeste</w:t>
      </w:r>
    </w:p>
    <w:p>
      <w:r>
        <w:t>DROIT D'ÊTRE ENTENDU, DÉLAI FIXÉ PAR LE JUGE, PROLONGATION DU DÉLAI, DROIT DE S'EXPLIQUER, DROIT D'OBTENIR UNE DÉCISION | 144 al. 2 CPC (CH), 253 CPC (CH), 53 al. 1 CPC (CH)</w:t>
      </w:r>
    </w:p>
    <w:p>
      <w:pPr>
        <w:pStyle w:val="Heading2"/>
      </w:pPr>
      <w:r>
        <w:t>Erwägungen</w:t>
      </w:r>
    </w:p>
    <w:p>
      <w:r>
        <w:rPr>
          <w:b/>
        </w:rPr>
        <w:t>E. 19</w:t>
      </w:r>
    </w:p>
    <w:p>
      <w:r>
        <w:t>ad art. 54 CPC). III. Le recours doit ainsi être admis et la cause renvoyée au premier juge pour qu'il fixe au poursuivi un nouveau délai afin de se déterminer sur la requête de mainlevée et de déposer toutes pièces utiles ou pour tenir une audience. Les frais judiciaires de deuxième instance, arrêtés à 360 fr., doivent être mis à la charge de l'intimée, nonobstant le fait qu'elle n'a pas pris de conclusions expresses en rejet du recours (Tappy, op. cit. n. 22 ad art. 106 CPC). En revanche, il n'y a pas lieu d'allouer des dépens au recourant qui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